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2CBE8B" w14:textId="173EC0D0" w:rsidR="00D42218" w:rsidRPr="00DA7A9A" w:rsidRDefault="00D42218" w:rsidP="00D42218">
      <w:pPr>
        <w:spacing w:before="120" w:after="0" w:line="240" w:lineRule="auto"/>
        <w:jc w:val="both"/>
        <w:rPr>
          <w:rFonts w:asciiTheme="majorBidi" w:hAnsiTheme="majorBidi" w:cstheme="majorBidi"/>
          <w:i/>
          <w:sz w:val="24"/>
          <w:szCs w:val="24"/>
          <w:u w:val="single"/>
        </w:rPr>
      </w:pPr>
      <w:r w:rsidRPr="00DA7A9A">
        <w:rPr>
          <w:rFonts w:asciiTheme="majorBidi" w:hAnsiTheme="majorBidi" w:cstheme="majorBidi"/>
          <w:i/>
          <w:sz w:val="24"/>
          <w:szCs w:val="24"/>
          <w:u w:val="single"/>
        </w:rPr>
        <w:t xml:space="preserve">Załącznik </w:t>
      </w:r>
      <w:r w:rsidRPr="00995E8A">
        <w:rPr>
          <w:rFonts w:asciiTheme="majorBidi" w:hAnsiTheme="majorBidi" w:cstheme="majorBidi"/>
          <w:i/>
          <w:sz w:val="24"/>
          <w:szCs w:val="24"/>
          <w:highlight w:val="green"/>
          <w:u w:val="single"/>
        </w:rPr>
        <w:t xml:space="preserve">nr </w:t>
      </w:r>
      <w:r w:rsidR="00995E8A" w:rsidRPr="00995E8A">
        <w:rPr>
          <w:rFonts w:asciiTheme="majorBidi" w:hAnsiTheme="majorBidi" w:cstheme="majorBidi"/>
          <w:i/>
          <w:sz w:val="24"/>
          <w:szCs w:val="24"/>
          <w:highlight w:val="green"/>
          <w:u w:val="single"/>
        </w:rPr>
        <w:t>4a</w:t>
      </w:r>
    </w:p>
    <w:p w14:paraId="1D969F5C" w14:textId="77777777" w:rsidR="00D42218" w:rsidRPr="00DA7A9A" w:rsidRDefault="00D42218" w:rsidP="00D42218">
      <w:pPr>
        <w:spacing w:before="120" w:after="0" w:line="240" w:lineRule="auto"/>
        <w:jc w:val="both"/>
        <w:rPr>
          <w:rFonts w:asciiTheme="majorBidi" w:hAnsiTheme="majorBidi" w:cstheme="majorBidi"/>
          <w:i/>
          <w:sz w:val="24"/>
          <w:szCs w:val="24"/>
        </w:rPr>
      </w:pPr>
      <w:r w:rsidRPr="00DA7A9A">
        <w:rPr>
          <w:rFonts w:asciiTheme="majorBidi" w:hAnsiTheme="majorBidi" w:cstheme="majorBidi"/>
          <w:i/>
          <w:sz w:val="24"/>
          <w:szCs w:val="24"/>
        </w:rPr>
        <w:t>Do procedury wewnętrznej</w:t>
      </w:r>
    </w:p>
    <w:p w14:paraId="366C3D20" w14:textId="77777777" w:rsidR="00D42218" w:rsidRPr="00DA7A9A" w:rsidRDefault="00D42218" w:rsidP="00D42218">
      <w:pPr>
        <w:spacing w:before="120" w:after="0" w:line="240" w:lineRule="auto"/>
        <w:jc w:val="both"/>
        <w:rPr>
          <w:rFonts w:asciiTheme="majorBidi" w:hAnsiTheme="majorBidi" w:cstheme="majorBidi"/>
          <w:i/>
          <w:sz w:val="24"/>
          <w:szCs w:val="24"/>
        </w:rPr>
      </w:pPr>
      <w:r w:rsidRPr="00DA7A9A">
        <w:rPr>
          <w:rFonts w:asciiTheme="majorBidi" w:hAnsiTheme="majorBidi" w:cstheme="majorBidi"/>
          <w:i/>
          <w:sz w:val="24"/>
          <w:szCs w:val="24"/>
        </w:rPr>
        <w:t xml:space="preserve">w zakresie przeciwdziałania praniu pieniędzy </w:t>
      </w:r>
    </w:p>
    <w:p w14:paraId="7171D102" w14:textId="77777777" w:rsidR="00D42218" w:rsidRPr="00DA7A9A" w:rsidRDefault="00D42218" w:rsidP="00D42218">
      <w:pPr>
        <w:spacing w:before="120" w:after="0" w:line="240" w:lineRule="auto"/>
        <w:jc w:val="both"/>
        <w:rPr>
          <w:rFonts w:asciiTheme="majorBidi" w:hAnsiTheme="majorBidi" w:cstheme="majorBidi"/>
          <w:i/>
          <w:sz w:val="24"/>
          <w:szCs w:val="24"/>
        </w:rPr>
      </w:pPr>
      <w:r w:rsidRPr="00DA7A9A">
        <w:rPr>
          <w:rFonts w:asciiTheme="majorBidi" w:hAnsiTheme="majorBidi" w:cstheme="majorBidi"/>
          <w:i/>
          <w:sz w:val="24"/>
          <w:szCs w:val="24"/>
        </w:rPr>
        <w:t>oraz finansowaniu terroryzmu</w:t>
      </w:r>
    </w:p>
    <w:p w14:paraId="366C3882" w14:textId="77777777" w:rsidR="00D42218" w:rsidRPr="00DA7A9A" w:rsidRDefault="00D42218" w:rsidP="00D42218">
      <w:pPr>
        <w:spacing w:before="120" w:after="0" w:line="240" w:lineRule="auto"/>
        <w:jc w:val="both"/>
        <w:rPr>
          <w:rFonts w:asciiTheme="majorBidi" w:hAnsiTheme="majorBidi" w:cstheme="majorBidi"/>
          <w:b/>
          <w:sz w:val="24"/>
          <w:szCs w:val="24"/>
        </w:rPr>
      </w:pPr>
    </w:p>
    <w:p w14:paraId="70C09396" w14:textId="4FB8C077" w:rsidR="00D42218" w:rsidRPr="00CC274E" w:rsidRDefault="00CC274E" w:rsidP="00D42218">
      <w:pPr>
        <w:spacing w:before="120"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C274E">
        <w:rPr>
          <w:rFonts w:ascii="Times New Roman" w:hAnsi="Times New Roman" w:cs="Times New Roman"/>
          <w:b/>
          <w:sz w:val="24"/>
          <w:szCs w:val="24"/>
        </w:rPr>
        <w:t>&lt;O;ZestAnkieta</w:t>
      </w:r>
      <w:r w:rsidR="00780587">
        <w:rPr>
          <w:rFonts w:ascii="Times New Roman" w:hAnsi="Times New Roman" w:cs="Times New Roman"/>
          <w:b/>
          <w:sz w:val="24"/>
          <w:szCs w:val="24"/>
        </w:rPr>
        <w:t>1</w:t>
      </w:r>
      <w:r w:rsidRPr="00CC274E">
        <w:rPr>
          <w:rFonts w:ascii="Times New Roman" w:hAnsi="Times New Roman" w:cs="Times New Roman"/>
          <w:b/>
          <w:sz w:val="24"/>
          <w:szCs w:val="24"/>
        </w:rPr>
        <w:t>.Kancelaria.Miejscowosc&gt;</w:t>
      </w:r>
      <w:r w:rsidR="00D42218" w:rsidRPr="00CC274E">
        <w:rPr>
          <w:rFonts w:ascii="Times New Roman" w:hAnsi="Times New Roman" w:cs="Times New Roman"/>
          <w:b/>
          <w:sz w:val="24"/>
          <w:szCs w:val="24"/>
        </w:rPr>
        <w:t xml:space="preserve">, dnia </w:t>
      </w:r>
      <w:r w:rsidRPr="00CC274E">
        <w:rPr>
          <w:rFonts w:ascii="Times New Roman" w:hAnsi="Times New Roman" w:cs="Times New Roman"/>
          <w:b/>
          <w:sz w:val="24"/>
          <w:szCs w:val="24"/>
        </w:rPr>
        <w:t>&lt;O;ZestAnkieta</w:t>
      </w:r>
      <w:r w:rsidR="00780587">
        <w:rPr>
          <w:rFonts w:ascii="Times New Roman" w:hAnsi="Times New Roman" w:cs="Times New Roman"/>
          <w:b/>
          <w:sz w:val="24"/>
          <w:szCs w:val="24"/>
        </w:rPr>
        <w:t>1</w:t>
      </w:r>
      <w:r w:rsidRPr="00CC274E">
        <w:rPr>
          <w:rFonts w:ascii="Times New Roman" w:hAnsi="Times New Roman" w:cs="Times New Roman"/>
          <w:b/>
          <w:sz w:val="24"/>
          <w:szCs w:val="24"/>
        </w:rPr>
        <w:t>.Data&gt;</w:t>
      </w:r>
      <w:r w:rsidR="00D42218" w:rsidRPr="00CC274E">
        <w:rPr>
          <w:rFonts w:ascii="Times New Roman" w:hAnsi="Times New Roman" w:cs="Times New Roman"/>
          <w:b/>
          <w:sz w:val="24"/>
          <w:szCs w:val="24"/>
        </w:rPr>
        <w:t xml:space="preserve"> r. </w:t>
      </w:r>
    </w:p>
    <w:p w14:paraId="26EAE2D2" w14:textId="77777777" w:rsidR="00D42218" w:rsidRDefault="00D42218" w:rsidP="00D0574F">
      <w:pPr>
        <w:spacing w:before="120" w:after="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</w:p>
    <w:p w14:paraId="1C0C598C" w14:textId="77777777" w:rsidR="00D0574F" w:rsidRPr="00DA7A9A" w:rsidRDefault="00D0574F" w:rsidP="00D0574F">
      <w:pPr>
        <w:spacing w:before="120" w:after="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  <w:r w:rsidRPr="00D0574F">
        <w:rPr>
          <w:rFonts w:asciiTheme="majorBidi" w:hAnsiTheme="majorBidi" w:cstheme="majorBidi"/>
          <w:b/>
          <w:sz w:val="24"/>
          <w:szCs w:val="24"/>
        </w:rPr>
        <w:t>OCENA RYZYKA PRANIA PIENIĘDZY ORAZ FINANSOWANIA TERRORYZMU</w:t>
      </w:r>
      <w:r w:rsidRPr="00DA7A9A">
        <w:rPr>
          <w:rFonts w:asciiTheme="majorBidi" w:hAnsiTheme="majorBidi" w:cstheme="majorBidi"/>
          <w:b/>
          <w:sz w:val="24"/>
          <w:szCs w:val="24"/>
        </w:rPr>
        <w:t xml:space="preserve"> </w:t>
      </w:r>
    </w:p>
    <w:p w14:paraId="6E772749" w14:textId="2654344D" w:rsidR="00CC274E" w:rsidRPr="00CC274E" w:rsidRDefault="00D0574F" w:rsidP="00CC274E">
      <w:pPr>
        <w:spacing w:before="120"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dokonana przez </w:t>
      </w:r>
      <w:r w:rsidRPr="00DA7A9A">
        <w:rPr>
          <w:rFonts w:asciiTheme="majorBidi" w:hAnsiTheme="majorBidi" w:cstheme="majorBidi"/>
          <w:b/>
          <w:bCs/>
          <w:sz w:val="24"/>
          <w:szCs w:val="24"/>
        </w:rPr>
        <w:t xml:space="preserve">Notariusza </w:t>
      </w:r>
      <w:r w:rsidR="00CC274E" w:rsidRPr="00CC274E">
        <w:rPr>
          <w:rFonts w:asciiTheme="majorBidi" w:hAnsiTheme="majorBidi" w:cstheme="majorBidi"/>
          <w:b/>
          <w:bCs/>
          <w:sz w:val="24"/>
          <w:szCs w:val="24"/>
        </w:rPr>
        <w:t>&lt;O;ZestAnkieta</w:t>
      </w:r>
      <w:r w:rsidR="00F82C6E">
        <w:rPr>
          <w:rFonts w:asciiTheme="majorBidi" w:hAnsiTheme="majorBidi" w:cstheme="majorBidi"/>
          <w:b/>
          <w:bCs/>
          <w:sz w:val="24"/>
          <w:szCs w:val="24"/>
        </w:rPr>
        <w:t>1</w:t>
      </w:r>
      <w:r w:rsidR="00CC274E" w:rsidRPr="00CC274E">
        <w:rPr>
          <w:rFonts w:asciiTheme="majorBidi" w:hAnsiTheme="majorBidi" w:cstheme="majorBidi"/>
          <w:b/>
          <w:bCs/>
          <w:sz w:val="24"/>
          <w:szCs w:val="24"/>
        </w:rPr>
        <w:t xml:space="preserve">.Kancelaria.Nazwa&gt; </w:t>
      </w:r>
    </w:p>
    <w:p w14:paraId="6C2B04B7" w14:textId="076736A8" w:rsidR="00CC274E" w:rsidRPr="00CC274E" w:rsidRDefault="00CC274E" w:rsidP="00CC274E">
      <w:pPr>
        <w:spacing w:before="120"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bookmarkStart w:id="0" w:name="__DdeLink__1_2103693056"/>
      <w:bookmarkEnd w:id="0"/>
      <w:r w:rsidRPr="00CC274E">
        <w:rPr>
          <w:rFonts w:asciiTheme="majorBidi" w:hAnsiTheme="majorBidi" w:cstheme="majorBidi"/>
          <w:b/>
          <w:bCs/>
          <w:sz w:val="24"/>
          <w:szCs w:val="24"/>
        </w:rPr>
        <w:t>&lt;O;ZestAnkieta</w:t>
      </w:r>
      <w:r w:rsidR="00F82C6E">
        <w:rPr>
          <w:rFonts w:asciiTheme="majorBidi" w:hAnsiTheme="majorBidi" w:cstheme="majorBidi"/>
          <w:b/>
          <w:bCs/>
          <w:sz w:val="24"/>
          <w:szCs w:val="24"/>
        </w:rPr>
        <w:t>1</w:t>
      </w:r>
      <w:r w:rsidRPr="00CC274E">
        <w:rPr>
          <w:rFonts w:asciiTheme="majorBidi" w:hAnsiTheme="majorBidi" w:cstheme="majorBidi"/>
          <w:b/>
          <w:bCs/>
          <w:sz w:val="24"/>
          <w:szCs w:val="24"/>
        </w:rPr>
        <w:t>.Kancelaria.Adres&gt;</w:t>
      </w:r>
    </w:p>
    <w:p w14:paraId="20D41FBC" w14:textId="1DA885DA" w:rsidR="00D0574F" w:rsidRDefault="00CC274E" w:rsidP="00CC274E">
      <w:pPr>
        <w:spacing w:before="120"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CC274E">
        <w:rPr>
          <w:rFonts w:asciiTheme="majorBidi" w:hAnsiTheme="majorBidi" w:cstheme="majorBidi"/>
          <w:b/>
          <w:bCs/>
          <w:sz w:val="24"/>
          <w:szCs w:val="24"/>
        </w:rPr>
        <w:t>&lt;O;ZestAnkieta</w:t>
      </w:r>
      <w:r w:rsidR="00F82C6E">
        <w:rPr>
          <w:rFonts w:asciiTheme="majorBidi" w:hAnsiTheme="majorBidi" w:cstheme="majorBidi"/>
          <w:b/>
          <w:bCs/>
          <w:sz w:val="24"/>
          <w:szCs w:val="24"/>
        </w:rPr>
        <w:t>1</w:t>
      </w:r>
      <w:r w:rsidRPr="00CC274E">
        <w:rPr>
          <w:rFonts w:asciiTheme="majorBidi" w:hAnsiTheme="majorBidi" w:cstheme="majorBidi"/>
          <w:b/>
          <w:bCs/>
          <w:sz w:val="24"/>
          <w:szCs w:val="24"/>
        </w:rPr>
        <w:t>.Kancelaria.Nip&gt;</w:t>
      </w:r>
      <w:r w:rsidR="00D0574F" w:rsidRPr="00DA7A9A">
        <w:rPr>
          <w:rFonts w:asciiTheme="majorBidi" w:hAnsiTheme="majorBidi" w:cstheme="majorBidi"/>
          <w:b/>
          <w:bCs/>
          <w:sz w:val="24"/>
          <w:szCs w:val="24"/>
        </w:rPr>
        <w:t xml:space="preserve">  </w:t>
      </w:r>
    </w:p>
    <w:p w14:paraId="04D23AE7" w14:textId="2878643B" w:rsidR="00D0574F" w:rsidRPr="00DA7A9A" w:rsidRDefault="00D0574F" w:rsidP="00D0574F">
      <w:pPr>
        <w:spacing w:before="120"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za okres od dnia </w:t>
      </w:r>
      <w:r w:rsidR="00CC274E" w:rsidRPr="00CC274E">
        <w:rPr>
          <w:rFonts w:asciiTheme="majorBidi" w:hAnsiTheme="majorBidi" w:cstheme="majorBidi"/>
          <w:b/>
          <w:bCs/>
          <w:sz w:val="24"/>
          <w:szCs w:val="24"/>
        </w:rPr>
        <w:t>&lt;O;ZestAnkieta</w:t>
      </w:r>
      <w:r w:rsidR="00F82C6E">
        <w:rPr>
          <w:rFonts w:asciiTheme="majorBidi" w:hAnsiTheme="majorBidi" w:cstheme="majorBidi"/>
          <w:b/>
          <w:bCs/>
          <w:sz w:val="24"/>
          <w:szCs w:val="24"/>
        </w:rPr>
        <w:t>1</w:t>
      </w:r>
      <w:r w:rsidR="00CC274E" w:rsidRPr="00CC274E">
        <w:rPr>
          <w:rFonts w:asciiTheme="majorBidi" w:hAnsiTheme="majorBidi" w:cstheme="majorBidi"/>
          <w:b/>
          <w:bCs/>
          <w:sz w:val="24"/>
          <w:szCs w:val="24"/>
        </w:rPr>
        <w:t>.Od&gt;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roku do dnia </w:t>
      </w:r>
      <w:r w:rsidR="00CC274E" w:rsidRPr="00CC274E">
        <w:rPr>
          <w:rFonts w:asciiTheme="majorBidi" w:hAnsiTheme="majorBidi" w:cstheme="majorBidi"/>
          <w:b/>
          <w:bCs/>
          <w:sz w:val="24"/>
          <w:szCs w:val="24"/>
        </w:rPr>
        <w:t>&lt;O;ZestAnkieta</w:t>
      </w:r>
      <w:r w:rsidR="00F82C6E">
        <w:rPr>
          <w:rFonts w:asciiTheme="majorBidi" w:hAnsiTheme="majorBidi" w:cstheme="majorBidi"/>
          <w:b/>
          <w:bCs/>
          <w:sz w:val="24"/>
          <w:szCs w:val="24"/>
        </w:rPr>
        <w:t>1</w:t>
      </w:r>
      <w:r w:rsidR="00CC274E" w:rsidRPr="00CC274E">
        <w:rPr>
          <w:rFonts w:asciiTheme="majorBidi" w:hAnsiTheme="majorBidi" w:cstheme="majorBidi"/>
          <w:b/>
          <w:bCs/>
          <w:sz w:val="24"/>
          <w:szCs w:val="24"/>
        </w:rPr>
        <w:t>.</w:t>
      </w:r>
      <w:r w:rsidR="00CC274E">
        <w:rPr>
          <w:rFonts w:asciiTheme="majorBidi" w:hAnsiTheme="majorBidi" w:cstheme="majorBidi"/>
          <w:b/>
          <w:bCs/>
          <w:sz w:val="24"/>
          <w:szCs w:val="24"/>
        </w:rPr>
        <w:t>Do</w:t>
      </w:r>
      <w:r w:rsidR="00CC274E" w:rsidRPr="00CC274E">
        <w:rPr>
          <w:rFonts w:asciiTheme="majorBidi" w:hAnsiTheme="majorBidi" w:cstheme="majorBidi"/>
          <w:b/>
          <w:bCs/>
          <w:sz w:val="24"/>
          <w:szCs w:val="24"/>
        </w:rPr>
        <w:t>&gt;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roku.</w:t>
      </w:r>
    </w:p>
    <w:p w14:paraId="102A6DF6" w14:textId="77777777" w:rsidR="00137544" w:rsidRDefault="00137544"/>
    <w:p w14:paraId="46C93921" w14:textId="0CFAAFE3" w:rsidR="00D0574F" w:rsidRPr="00DA7A9A" w:rsidRDefault="00D0574F" w:rsidP="00D0574F">
      <w:pPr>
        <w:pStyle w:val="Akapitzlist"/>
        <w:spacing w:before="120" w:after="0" w:line="240" w:lineRule="auto"/>
        <w:ind w:left="0"/>
        <w:contextualSpacing w:val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Notariusz </w:t>
      </w:r>
      <w:r w:rsidR="00CC274E" w:rsidRPr="00CC274E">
        <w:rPr>
          <w:rFonts w:asciiTheme="majorBidi" w:hAnsiTheme="majorBidi" w:cstheme="majorBidi"/>
          <w:b/>
          <w:color w:val="000000"/>
          <w:sz w:val="24"/>
          <w:szCs w:val="24"/>
        </w:rPr>
        <w:t>&lt;</w:t>
      </w:r>
      <w:bookmarkStart w:id="1" w:name="_Hlk210144171"/>
      <w:r w:rsidR="00CC274E" w:rsidRPr="00CC274E">
        <w:rPr>
          <w:rFonts w:asciiTheme="majorBidi" w:hAnsiTheme="majorBidi" w:cstheme="majorBidi"/>
          <w:b/>
          <w:color w:val="000000"/>
          <w:sz w:val="24"/>
          <w:szCs w:val="24"/>
        </w:rPr>
        <w:t>O;ZestAnkieta</w:t>
      </w:r>
      <w:bookmarkEnd w:id="1"/>
      <w:r w:rsidR="00F82C6E">
        <w:rPr>
          <w:rFonts w:asciiTheme="majorBidi" w:hAnsiTheme="majorBidi" w:cstheme="majorBidi"/>
          <w:b/>
          <w:color w:val="000000"/>
          <w:sz w:val="24"/>
          <w:szCs w:val="24"/>
        </w:rPr>
        <w:t>1</w:t>
      </w:r>
      <w:r w:rsidR="00CC274E" w:rsidRPr="00CC274E">
        <w:rPr>
          <w:rFonts w:asciiTheme="majorBidi" w:hAnsiTheme="majorBidi" w:cstheme="majorBidi"/>
          <w:b/>
          <w:color w:val="000000"/>
          <w:sz w:val="24"/>
          <w:szCs w:val="24"/>
        </w:rPr>
        <w:t>.</w:t>
      </w:r>
      <w:r w:rsidR="00937EB8">
        <w:rPr>
          <w:rFonts w:asciiTheme="majorBidi" w:hAnsiTheme="majorBidi" w:cstheme="majorBidi"/>
          <w:b/>
          <w:color w:val="000000"/>
          <w:sz w:val="24"/>
          <w:szCs w:val="24"/>
        </w:rPr>
        <w:t>Tworca</w:t>
      </w:r>
      <w:r w:rsidR="00CC274E" w:rsidRPr="00CC274E">
        <w:rPr>
          <w:rFonts w:asciiTheme="majorBidi" w:hAnsiTheme="majorBidi" w:cstheme="majorBidi"/>
          <w:b/>
          <w:color w:val="000000"/>
          <w:sz w:val="24"/>
          <w:szCs w:val="24"/>
        </w:rPr>
        <w:t>.</w:t>
      </w:r>
      <w:r w:rsidR="00937EB8" w:rsidRPr="00937EB8">
        <w:rPr>
          <w:rFonts w:asciiTheme="majorBidi" w:hAnsiTheme="majorBidi" w:cstheme="majorBidi"/>
          <w:b/>
          <w:color w:val="000000"/>
          <w:sz w:val="24"/>
          <w:szCs w:val="24"/>
        </w:rPr>
        <w:t>IdString</w:t>
      </w:r>
      <w:r w:rsidR="00CC274E" w:rsidRPr="00CC274E">
        <w:rPr>
          <w:rFonts w:asciiTheme="majorBidi" w:hAnsiTheme="majorBidi" w:cstheme="majorBidi"/>
          <w:b/>
          <w:color w:val="000000"/>
          <w:sz w:val="24"/>
          <w:szCs w:val="24"/>
        </w:rPr>
        <w:t>&gt;</w:t>
      </w:r>
      <w:r w:rsidR="00CC274E" w:rsidRPr="00CC274E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dokonał </w:t>
      </w:r>
      <w:r w:rsidRPr="00DA7A9A">
        <w:rPr>
          <w:rFonts w:asciiTheme="majorBidi" w:hAnsiTheme="majorBidi" w:cstheme="majorBidi"/>
          <w:sz w:val="24"/>
          <w:szCs w:val="24"/>
        </w:rPr>
        <w:t>identyfikacj</w:t>
      </w:r>
      <w:r>
        <w:rPr>
          <w:rFonts w:asciiTheme="majorBidi" w:hAnsiTheme="majorBidi" w:cstheme="majorBidi"/>
          <w:sz w:val="24"/>
          <w:szCs w:val="24"/>
        </w:rPr>
        <w:t>i  i oceny</w:t>
      </w:r>
      <w:r w:rsidRPr="00DA7A9A">
        <w:rPr>
          <w:rFonts w:asciiTheme="majorBidi" w:hAnsiTheme="majorBidi" w:cstheme="majorBidi"/>
          <w:sz w:val="24"/>
          <w:szCs w:val="24"/>
        </w:rPr>
        <w:t xml:space="preserve"> poziomu ryzyka prania pieniędzy oraz finansowania terroryzmu odnoszącego się do </w:t>
      </w:r>
      <w:r>
        <w:rPr>
          <w:rFonts w:asciiTheme="majorBidi" w:hAnsiTheme="majorBidi" w:cstheme="majorBidi"/>
          <w:sz w:val="24"/>
          <w:szCs w:val="24"/>
        </w:rPr>
        <w:t xml:space="preserve">jego </w:t>
      </w:r>
      <w:r w:rsidRPr="00DA7A9A">
        <w:rPr>
          <w:rFonts w:asciiTheme="majorBidi" w:hAnsiTheme="majorBidi" w:cstheme="majorBidi"/>
          <w:sz w:val="24"/>
          <w:szCs w:val="24"/>
        </w:rPr>
        <w:t>działalności</w:t>
      </w:r>
      <w:r>
        <w:rPr>
          <w:rFonts w:asciiTheme="majorBidi" w:hAnsiTheme="majorBidi" w:cstheme="majorBidi"/>
          <w:sz w:val="24"/>
          <w:szCs w:val="24"/>
        </w:rPr>
        <w:t xml:space="preserve">, tj. czynności wymienionych </w:t>
      </w:r>
      <w:r w:rsidRPr="00DA7A9A">
        <w:rPr>
          <w:rFonts w:asciiTheme="majorBidi" w:hAnsiTheme="majorBidi" w:cstheme="majorBidi"/>
          <w:sz w:val="24"/>
          <w:szCs w:val="24"/>
        </w:rPr>
        <w:t xml:space="preserve">w art. 2 ust. 1 pkt 13) </w:t>
      </w:r>
      <w:r>
        <w:rPr>
          <w:rFonts w:asciiTheme="majorBidi" w:hAnsiTheme="majorBidi" w:cstheme="majorBidi"/>
          <w:sz w:val="24"/>
          <w:szCs w:val="24"/>
        </w:rPr>
        <w:t xml:space="preserve">i </w:t>
      </w:r>
      <w:r w:rsidRPr="00DA7A9A">
        <w:rPr>
          <w:rFonts w:asciiTheme="majorBidi" w:hAnsiTheme="majorBidi" w:cstheme="majorBidi"/>
          <w:sz w:val="24"/>
          <w:szCs w:val="24"/>
        </w:rPr>
        <w:t>13</w:t>
      </w:r>
      <w:r>
        <w:rPr>
          <w:rFonts w:asciiTheme="majorBidi" w:hAnsiTheme="majorBidi" w:cstheme="majorBidi"/>
          <w:sz w:val="24"/>
          <w:szCs w:val="24"/>
        </w:rPr>
        <w:t>a</w:t>
      </w:r>
      <w:r w:rsidRPr="00DA7A9A">
        <w:rPr>
          <w:rFonts w:asciiTheme="majorBidi" w:hAnsiTheme="majorBidi" w:cstheme="majorBidi"/>
          <w:sz w:val="24"/>
          <w:szCs w:val="24"/>
        </w:rPr>
        <w:t>) ustaw</w:t>
      </w:r>
      <w:r w:rsidR="00995E8A">
        <w:rPr>
          <w:rFonts w:asciiTheme="majorBidi" w:hAnsiTheme="majorBidi" w:cstheme="majorBidi"/>
          <w:sz w:val="24"/>
          <w:szCs w:val="24"/>
        </w:rPr>
        <w:t>y</w:t>
      </w:r>
      <w:r w:rsidRPr="00DA7A9A">
        <w:rPr>
          <w:rFonts w:asciiTheme="majorBidi" w:hAnsiTheme="majorBidi" w:cstheme="majorBidi"/>
          <w:sz w:val="24"/>
          <w:szCs w:val="24"/>
        </w:rPr>
        <w:t xml:space="preserve"> z dnia 1 marca 2018 r. o przeciwdziałaniu praniu pieniędzy oraz finansowaniu terroryzmu (dalej: Ustawa), w zakresie których notariusz jest instytucją obowiązaną w rozumieniu Ustawy.</w:t>
      </w:r>
    </w:p>
    <w:p w14:paraId="3DEF412A" w14:textId="77777777" w:rsidR="005D4710" w:rsidRPr="00A2517C" w:rsidRDefault="005D4710" w:rsidP="008A562F">
      <w:pPr>
        <w:spacing w:before="120" w:after="0" w:line="240" w:lineRule="auto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I. </w:t>
      </w:r>
      <w:r w:rsidRPr="005D4710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Ryzyko standardowe </w:t>
      </w:r>
    </w:p>
    <w:p w14:paraId="1EA3B630" w14:textId="77777777" w:rsidR="00D0574F" w:rsidRPr="00C168AE" w:rsidRDefault="005D4710" w:rsidP="00D0574F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1. </w:t>
      </w:r>
      <w:r w:rsidR="00D0574F">
        <w:rPr>
          <w:rFonts w:asciiTheme="majorBidi" w:hAnsiTheme="majorBidi" w:cstheme="majorBidi"/>
          <w:color w:val="000000"/>
          <w:sz w:val="24"/>
          <w:szCs w:val="24"/>
        </w:rPr>
        <w:t xml:space="preserve">Przy dokonywaniu </w:t>
      </w:r>
      <w:r w:rsidR="00D0574F" w:rsidRPr="00DA7A9A">
        <w:rPr>
          <w:rFonts w:asciiTheme="majorBidi" w:hAnsiTheme="majorBidi" w:cstheme="majorBidi"/>
          <w:sz w:val="24"/>
          <w:szCs w:val="24"/>
        </w:rPr>
        <w:t>identyfikacj</w:t>
      </w:r>
      <w:r w:rsidR="00D0574F">
        <w:rPr>
          <w:rFonts w:asciiTheme="majorBidi" w:hAnsiTheme="majorBidi" w:cstheme="majorBidi"/>
          <w:sz w:val="24"/>
          <w:szCs w:val="24"/>
        </w:rPr>
        <w:t>i  i oceny</w:t>
      </w:r>
      <w:r w:rsidR="00D0574F" w:rsidRPr="00DA7A9A">
        <w:rPr>
          <w:rFonts w:asciiTheme="majorBidi" w:hAnsiTheme="majorBidi" w:cstheme="majorBidi"/>
          <w:sz w:val="24"/>
          <w:szCs w:val="24"/>
        </w:rPr>
        <w:t xml:space="preserve"> poziomu ryzyka</w:t>
      </w:r>
      <w:r w:rsidR="00D0574F">
        <w:rPr>
          <w:rFonts w:asciiTheme="majorBidi" w:hAnsiTheme="majorBidi" w:cstheme="majorBidi"/>
          <w:sz w:val="24"/>
          <w:szCs w:val="24"/>
        </w:rPr>
        <w:t xml:space="preserve"> uwzględniono czynniki ryzyka, </w:t>
      </w:r>
      <w:r w:rsidR="00D0574F" w:rsidRPr="00C168AE">
        <w:rPr>
          <w:rFonts w:asciiTheme="majorBidi" w:hAnsiTheme="majorBidi" w:cstheme="majorBidi"/>
          <w:sz w:val="24"/>
          <w:szCs w:val="24"/>
        </w:rPr>
        <w:t>wymienione w art. 27 Ustawy, uzyskując następujące wyniki:</w:t>
      </w:r>
    </w:p>
    <w:p w14:paraId="0990FF52" w14:textId="34FF652B" w:rsidR="00D0574F" w:rsidRPr="00C168AE" w:rsidRDefault="00D0574F" w:rsidP="00851A76">
      <w:pPr>
        <w:pStyle w:val="Akapitzlist"/>
        <w:spacing w:before="120" w:after="0" w:line="240" w:lineRule="auto"/>
        <w:ind w:left="0"/>
        <w:contextualSpacing w:val="0"/>
        <w:jc w:val="both"/>
        <w:rPr>
          <w:rFonts w:asciiTheme="majorBidi" w:hAnsiTheme="majorBidi" w:cstheme="majorBidi"/>
          <w:sz w:val="24"/>
          <w:szCs w:val="24"/>
        </w:rPr>
      </w:pPr>
      <w:r w:rsidRPr="00C168AE">
        <w:rPr>
          <w:rFonts w:asciiTheme="majorBidi" w:hAnsiTheme="majorBidi" w:cstheme="majorBidi"/>
          <w:sz w:val="24"/>
          <w:szCs w:val="24"/>
        </w:rPr>
        <w:t xml:space="preserve">1) czynniki ryzyka dotyczące klientów oraz beneficjentów rzeczywistych klientów: </w:t>
      </w:r>
      <w:r w:rsidR="005D4710" w:rsidRPr="00C168AE">
        <w:rPr>
          <w:rFonts w:asciiTheme="majorBidi" w:hAnsiTheme="majorBidi" w:cstheme="majorBidi"/>
          <w:sz w:val="24"/>
          <w:szCs w:val="24"/>
        </w:rPr>
        <w:t xml:space="preserve">wynik </w:t>
      </w:r>
      <w:r w:rsidR="00CC274E" w:rsidRPr="00C168AE">
        <w:rPr>
          <w:rFonts w:asciiTheme="majorBidi" w:hAnsiTheme="majorBidi" w:cstheme="majorBidi"/>
          <w:sz w:val="24"/>
          <w:szCs w:val="24"/>
        </w:rPr>
        <w:t>&lt;</w:t>
      </w:r>
      <w:r w:rsidR="00C168AE" w:rsidRPr="00C168AE">
        <w:rPr>
          <w:rFonts w:asciiTheme="majorBidi" w:hAnsiTheme="majorBidi" w:cstheme="majorBidi"/>
          <w:b/>
          <w:sz w:val="24"/>
          <w:szCs w:val="24"/>
        </w:rPr>
        <w:t>O;ZestAnkieta</w:t>
      </w:r>
      <w:r w:rsidR="00F82C6E">
        <w:rPr>
          <w:rFonts w:asciiTheme="majorBidi" w:hAnsiTheme="majorBidi" w:cstheme="majorBidi"/>
          <w:b/>
          <w:sz w:val="24"/>
          <w:szCs w:val="24"/>
        </w:rPr>
        <w:t>1</w:t>
      </w:r>
      <w:r w:rsidR="00C168AE" w:rsidRPr="00C168AE">
        <w:rPr>
          <w:rFonts w:ascii="Cascadia Mono" w:hAnsi="Cascadia Mono" w:cs="Cascadia Mono"/>
          <w:color w:val="000000"/>
          <w:sz w:val="19"/>
          <w:szCs w:val="19"/>
        </w:rPr>
        <w:t>.</w:t>
      </w:r>
      <w:r w:rsidR="00C168AE" w:rsidRPr="00C168AE">
        <w:rPr>
          <w:rFonts w:asciiTheme="majorBidi" w:hAnsiTheme="majorBidi" w:cstheme="majorBidi"/>
          <w:b/>
          <w:sz w:val="24"/>
          <w:szCs w:val="24"/>
        </w:rPr>
        <w:t>WynikCzynnik1S</w:t>
      </w:r>
      <w:r w:rsidR="00CC274E" w:rsidRPr="00C168AE">
        <w:rPr>
          <w:rFonts w:asciiTheme="majorBidi" w:hAnsiTheme="majorBidi" w:cstheme="majorBidi"/>
          <w:sz w:val="28"/>
          <w:szCs w:val="28"/>
        </w:rPr>
        <w:t>&gt;</w:t>
      </w:r>
      <w:r w:rsidRPr="00C168AE">
        <w:rPr>
          <w:rFonts w:asciiTheme="majorBidi" w:hAnsiTheme="majorBidi" w:cstheme="majorBidi"/>
          <w:sz w:val="24"/>
          <w:szCs w:val="24"/>
        </w:rPr>
        <w:t xml:space="preserve"> </w:t>
      </w:r>
    </w:p>
    <w:p w14:paraId="1A9FA2E4" w14:textId="7ED463A3" w:rsidR="00D0574F" w:rsidRPr="00C168AE" w:rsidRDefault="00D0574F" w:rsidP="005D4710">
      <w:pPr>
        <w:pStyle w:val="Akapitzlist"/>
        <w:spacing w:before="120" w:after="0" w:line="240" w:lineRule="auto"/>
        <w:ind w:left="0"/>
        <w:contextualSpacing w:val="0"/>
        <w:jc w:val="both"/>
        <w:rPr>
          <w:rFonts w:asciiTheme="majorBidi" w:hAnsiTheme="majorBidi" w:cstheme="majorBidi"/>
          <w:sz w:val="24"/>
          <w:szCs w:val="24"/>
        </w:rPr>
      </w:pPr>
      <w:r w:rsidRPr="00C168AE">
        <w:rPr>
          <w:rFonts w:asciiTheme="majorBidi" w:hAnsiTheme="majorBidi" w:cstheme="majorBidi"/>
          <w:sz w:val="24"/>
          <w:szCs w:val="24"/>
        </w:rPr>
        <w:t xml:space="preserve">2) </w:t>
      </w:r>
      <w:r w:rsidRPr="00C168AE">
        <w:rPr>
          <w:rFonts w:asciiTheme="majorBidi" w:hAnsiTheme="majorBidi" w:cstheme="majorBidi"/>
          <w:color w:val="000000"/>
          <w:sz w:val="24"/>
          <w:szCs w:val="24"/>
        </w:rPr>
        <w:t>czynniki ryzyka dotyczące państw i obszarów geograficznych</w:t>
      </w:r>
      <w:r w:rsidRPr="00C168AE">
        <w:rPr>
          <w:rFonts w:asciiTheme="majorBidi" w:hAnsiTheme="majorBidi" w:cstheme="majorBidi"/>
          <w:sz w:val="24"/>
          <w:szCs w:val="24"/>
        </w:rPr>
        <w:t xml:space="preserve">: </w:t>
      </w:r>
      <w:r w:rsidR="005D4710" w:rsidRPr="00C168AE">
        <w:rPr>
          <w:rFonts w:asciiTheme="majorBidi" w:hAnsiTheme="majorBidi" w:cstheme="majorBidi"/>
          <w:sz w:val="24"/>
          <w:szCs w:val="24"/>
        </w:rPr>
        <w:t xml:space="preserve">wynik </w:t>
      </w:r>
      <w:r w:rsidR="00C168AE" w:rsidRPr="00C168AE">
        <w:rPr>
          <w:rFonts w:asciiTheme="majorBidi" w:hAnsiTheme="majorBidi" w:cstheme="majorBidi"/>
          <w:sz w:val="24"/>
          <w:szCs w:val="24"/>
        </w:rPr>
        <w:t>&lt;</w:t>
      </w:r>
      <w:r w:rsidR="00C168AE" w:rsidRPr="00C168AE">
        <w:rPr>
          <w:rFonts w:asciiTheme="majorBidi" w:hAnsiTheme="majorBidi" w:cstheme="majorBidi"/>
          <w:b/>
          <w:sz w:val="24"/>
          <w:szCs w:val="24"/>
        </w:rPr>
        <w:t>O;ZestAnkieta</w:t>
      </w:r>
      <w:r w:rsidR="00F82C6E">
        <w:rPr>
          <w:rFonts w:asciiTheme="majorBidi" w:hAnsiTheme="majorBidi" w:cstheme="majorBidi"/>
          <w:b/>
          <w:sz w:val="24"/>
          <w:szCs w:val="24"/>
        </w:rPr>
        <w:t>1</w:t>
      </w:r>
      <w:r w:rsidR="00C168AE" w:rsidRPr="00C168AE">
        <w:rPr>
          <w:rFonts w:ascii="Cascadia Mono" w:hAnsi="Cascadia Mono" w:cs="Cascadia Mono"/>
          <w:color w:val="000000"/>
          <w:sz w:val="19"/>
          <w:szCs w:val="19"/>
        </w:rPr>
        <w:t>.</w:t>
      </w:r>
      <w:r w:rsidR="00C168AE" w:rsidRPr="00C168AE">
        <w:rPr>
          <w:rFonts w:asciiTheme="majorBidi" w:hAnsiTheme="majorBidi" w:cstheme="majorBidi"/>
          <w:b/>
          <w:sz w:val="24"/>
          <w:szCs w:val="24"/>
        </w:rPr>
        <w:t>WynikCzynnik2S</w:t>
      </w:r>
      <w:r w:rsidR="00C168AE" w:rsidRPr="00C168AE">
        <w:rPr>
          <w:rFonts w:asciiTheme="majorBidi" w:hAnsiTheme="majorBidi" w:cstheme="majorBidi"/>
          <w:sz w:val="28"/>
          <w:szCs w:val="28"/>
        </w:rPr>
        <w:t>&gt;</w:t>
      </w:r>
      <w:r w:rsidR="00CC274E" w:rsidRPr="00C168AE">
        <w:rPr>
          <w:rFonts w:asciiTheme="majorBidi" w:hAnsiTheme="majorBidi" w:cstheme="majorBidi"/>
          <w:sz w:val="24"/>
          <w:szCs w:val="24"/>
        </w:rPr>
        <w:t xml:space="preserve"> </w:t>
      </w:r>
      <w:r w:rsidR="005D4710" w:rsidRPr="00C168AE">
        <w:rPr>
          <w:rFonts w:asciiTheme="majorBidi" w:hAnsiTheme="majorBidi" w:cstheme="majorBidi"/>
          <w:sz w:val="24"/>
          <w:szCs w:val="24"/>
        </w:rPr>
        <w:t xml:space="preserve"> </w:t>
      </w:r>
    </w:p>
    <w:p w14:paraId="7938BDD8" w14:textId="2C98D948" w:rsidR="00D0574F" w:rsidRPr="00C168AE" w:rsidRDefault="00D0574F" w:rsidP="005D4710">
      <w:pPr>
        <w:pStyle w:val="Akapitzlist"/>
        <w:spacing w:before="120" w:after="0" w:line="240" w:lineRule="auto"/>
        <w:ind w:left="0"/>
        <w:contextualSpacing w:val="0"/>
        <w:jc w:val="both"/>
        <w:rPr>
          <w:rFonts w:asciiTheme="majorBidi" w:hAnsiTheme="majorBidi" w:cstheme="majorBidi"/>
          <w:sz w:val="24"/>
          <w:szCs w:val="24"/>
        </w:rPr>
      </w:pPr>
      <w:r w:rsidRPr="00C168AE">
        <w:rPr>
          <w:rFonts w:asciiTheme="majorBidi" w:hAnsiTheme="majorBidi" w:cstheme="majorBidi"/>
          <w:color w:val="000000"/>
          <w:sz w:val="24"/>
          <w:szCs w:val="24"/>
        </w:rPr>
        <w:t xml:space="preserve">3) czynniki ryzyka dotyczące produktów, usług i transakcji: </w:t>
      </w:r>
      <w:r w:rsidR="005D4710" w:rsidRPr="00C168AE">
        <w:rPr>
          <w:rFonts w:asciiTheme="majorBidi" w:hAnsiTheme="majorBidi" w:cstheme="majorBidi"/>
          <w:sz w:val="24"/>
          <w:szCs w:val="24"/>
        </w:rPr>
        <w:t xml:space="preserve"> wynik </w:t>
      </w:r>
      <w:r w:rsidR="00C168AE" w:rsidRPr="00C168AE">
        <w:rPr>
          <w:rFonts w:asciiTheme="majorBidi" w:hAnsiTheme="majorBidi" w:cstheme="majorBidi"/>
          <w:sz w:val="24"/>
          <w:szCs w:val="24"/>
        </w:rPr>
        <w:t>&lt;</w:t>
      </w:r>
      <w:r w:rsidR="00C168AE" w:rsidRPr="00C168AE">
        <w:rPr>
          <w:rFonts w:asciiTheme="majorBidi" w:hAnsiTheme="majorBidi" w:cstheme="majorBidi"/>
          <w:b/>
          <w:sz w:val="24"/>
          <w:szCs w:val="24"/>
        </w:rPr>
        <w:t>O;ZestAnkieta</w:t>
      </w:r>
      <w:r w:rsidR="00F82C6E">
        <w:rPr>
          <w:rFonts w:asciiTheme="majorBidi" w:hAnsiTheme="majorBidi" w:cstheme="majorBidi"/>
          <w:b/>
          <w:sz w:val="24"/>
          <w:szCs w:val="24"/>
        </w:rPr>
        <w:t>1</w:t>
      </w:r>
      <w:r w:rsidR="00C168AE" w:rsidRPr="00C168AE">
        <w:rPr>
          <w:rFonts w:ascii="Cascadia Mono" w:hAnsi="Cascadia Mono" w:cs="Cascadia Mono"/>
          <w:color w:val="000000"/>
          <w:sz w:val="19"/>
          <w:szCs w:val="19"/>
        </w:rPr>
        <w:t>.</w:t>
      </w:r>
      <w:r w:rsidR="00C168AE" w:rsidRPr="00C168AE">
        <w:rPr>
          <w:rFonts w:asciiTheme="majorBidi" w:hAnsiTheme="majorBidi" w:cstheme="majorBidi"/>
          <w:b/>
          <w:sz w:val="24"/>
          <w:szCs w:val="24"/>
        </w:rPr>
        <w:t>WynikCzynnik</w:t>
      </w:r>
      <w:r w:rsidR="00C168AE">
        <w:rPr>
          <w:rFonts w:asciiTheme="majorBidi" w:hAnsiTheme="majorBidi" w:cstheme="majorBidi"/>
          <w:b/>
          <w:sz w:val="24"/>
          <w:szCs w:val="24"/>
        </w:rPr>
        <w:t>3</w:t>
      </w:r>
      <w:r w:rsidR="00C168AE" w:rsidRPr="00C168AE">
        <w:rPr>
          <w:rFonts w:asciiTheme="majorBidi" w:hAnsiTheme="majorBidi" w:cstheme="majorBidi"/>
          <w:sz w:val="28"/>
          <w:szCs w:val="28"/>
        </w:rPr>
        <w:t>&gt;</w:t>
      </w:r>
      <w:r w:rsidR="005D4710" w:rsidRPr="00C168AE">
        <w:rPr>
          <w:rFonts w:asciiTheme="majorBidi" w:hAnsiTheme="majorBidi" w:cstheme="majorBidi"/>
          <w:sz w:val="24"/>
          <w:szCs w:val="24"/>
        </w:rPr>
        <w:t xml:space="preserve"> </w:t>
      </w:r>
    </w:p>
    <w:p w14:paraId="10D81071" w14:textId="1F9F7CAE" w:rsidR="00D0574F" w:rsidRPr="00C168AE" w:rsidRDefault="00D0574F" w:rsidP="005D4710">
      <w:pPr>
        <w:pStyle w:val="Akapitzlist"/>
        <w:spacing w:before="120" w:after="0" w:line="240" w:lineRule="auto"/>
        <w:ind w:left="0"/>
        <w:contextualSpacing w:val="0"/>
        <w:jc w:val="both"/>
        <w:rPr>
          <w:rFonts w:asciiTheme="majorBidi" w:hAnsiTheme="majorBidi" w:cstheme="majorBidi"/>
          <w:sz w:val="24"/>
          <w:szCs w:val="24"/>
        </w:rPr>
      </w:pPr>
      <w:r w:rsidRPr="00C168AE">
        <w:rPr>
          <w:rFonts w:asciiTheme="majorBidi" w:hAnsiTheme="majorBidi" w:cstheme="majorBidi"/>
          <w:sz w:val="24"/>
          <w:szCs w:val="24"/>
        </w:rPr>
        <w:t xml:space="preserve">4) czynniki ryzyka dotyczące kanałów dostaw: </w:t>
      </w:r>
      <w:r w:rsidR="005D4710" w:rsidRPr="00C168AE">
        <w:rPr>
          <w:rFonts w:asciiTheme="majorBidi" w:hAnsiTheme="majorBidi" w:cstheme="majorBidi"/>
          <w:sz w:val="24"/>
          <w:szCs w:val="24"/>
        </w:rPr>
        <w:t xml:space="preserve"> wynik </w:t>
      </w:r>
      <w:r w:rsidR="00C168AE" w:rsidRPr="00C168AE">
        <w:rPr>
          <w:rFonts w:asciiTheme="majorBidi" w:hAnsiTheme="majorBidi" w:cstheme="majorBidi"/>
          <w:sz w:val="24"/>
          <w:szCs w:val="24"/>
        </w:rPr>
        <w:t>&lt;</w:t>
      </w:r>
      <w:r w:rsidR="00C168AE" w:rsidRPr="00C168AE">
        <w:rPr>
          <w:rFonts w:asciiTheme="majorBidi" w:hAnsiTheme="majorBidi" w:cstheme="majorBidi"/>
          <w:b/>
          <w:sz w:val="24"/>
          <w:szCs w:val="24"/>
        </w:rPr>
        <w:t>O;ZestAnkieta</w:t>
      </w:r>
      <w:r w:rsidR="00C168AE" w:rsidRPr="00C168AE">
        <w:rPr>
          <w:rFonts w:ascii="Cascadia Mono" w:hAnsi="Cascadia Mono" w:cs="Cascadia Mono"/>
          <w:color w:val="000000"/>
          <w:sz w:val="19"/>
          <w:szCs w:val="19"/>
        </w:rPr>
        <w:t>.</w:t>
      </w:r>
      <w:r w:rsidR="00C168AE" w:rsidRPr="00C168AE">
        <w:rPr>
          <w:rFonts w:asciiTheme="majorBidi" w:hAnsiTheme="majorBidi" w:cstheme="majorBidi"/>
          <w:b/>
          <w:sz w:val="24"/>
          <w:szCs w:val="24"/>
        </w:rPr>
        <w:t>WynikCzynnik</w:t>
      </w:r>
      <w:r w:rsidR="00C168AE">
        <w:rPr>
          <w:rFonts w:asciiTheme="majorBidi" w:hAnsiTheme="majorBidi" w:cstheme="majorBidi"/>
          <w:b/>
          <w:sz w:val="24"/>
          <w:szCs w:val="24"/>
        </w:rPr>
        <w:t>4</w:t>
      </w:r>
      <w:r w:rsidR="00C168AE" w:rsidRPr="00C168AE">
        <w:rPr>
          <w:rFonts w:asciiTheme="majorBidi" w:hAnsiTheme="majorBidi" w:cstheme="majorBidi"/>
          <w:b/>
          <w:sz w:val="24"/>
          <w:szCs w:val="24"/>
        </w:rPr>
        <w:t>S</w:t>
      </w:r>
      <w:r w:rsidR="00C168AE" w:rsidRPr="00C168AE">
        <w:rPr>
          <w:rFonts w:asciiTheme="majorBidi" w:hAnsiTheme="majorBidi" w:cstheme="majorBidi"/>
          <w:sz w:val="28"/>
          <w:szCs w:val="28"/>
        </w:rPr>
        <w:t>&gt;</w:t>
      </w:r>
    </w:p>
    <w:p w14:paraId="24C0D27F" w14:textId="44D8ED53" w:rsidR="00727EFD" w:rsidRPr="00C168AE" w:rsidRDefault="00727EFD" w:rsidP="002C571D">
      <w:pPr>
        <w:pStyle w:val="Akapitzlist"/>
        <w:spacing w:before="120" w:after="0" w:line="240" w:lineRule="auto"/>
        <w:ind w:left="0"/>
        <w:contextualSpacing w:val="0"/>
        <w:jc w:val="both"/>
        <w:rPr>
          <w:rFonts w:asciiTheme="majorBidi" w:hAnsiTheme="majorBidi" w:cstheme="majorBidi"/>
          <w:sz w:val="24"/>
          <w:szCs w:val="24"/>
        </w:rPr>
      </w:pPr>
      <w:r w:rsidRPr="00C168AE">
        <w:rPr>
          <w:rFonts w:asciiTheme="majorBidi" w:hAnsiTheme="majorBidi" w:cstheme="majorBidi"/>
          <w:sz w:val="24"/>
          <w:szCs w:val="24"/>
        </w:rPr>
        <w:t xml:space="preserve">5) czynniki ryzyka dotyczące dokonywanych czynności, o których mowa w </w:t>
      </w:r>
      <w:hyperlink r:id="rId5" w:anchor="/document/16794052?unitId=art(79)pkt(6(a))&amp;cm=DOCUMENT" w:history="1">
        <w:r w:rsidRPr="00C168AE">
          <w:rPr>
            <w:rFonts w:asciiTheme="majorBidi" w:hAnsiTheme="majorBidi" w:cstheme="majorBidi"/>
            <w:sz w:val="24"/>
            <w:szCs w:val="24"/>
          </w:rPr>
          <w:t>art. 79 pkt 6a</w:t>
        </w:r>
      </w:hyperlink>
      <w:r w:rsidRPr="00C168AE">
        <w:rPr>
          <w:rFonts w:asciiTheme="majorBidi" w:hAnsiTheme="majorBidi" w:cstheme="majorBidi"/>
          <w:sz w:val="24"/>
          <w:szCs w:val="24"/>
        </w:rPr>
        <w:t xml:space="preserve"> ustawy z dnia 14 lutego 1991 r. - Prawo o notariacie:  wynik </w:t>
      </w:r>
      <w:r w:rsidR="00C168AE" w:rsidRPr="00C168AE">
        <w:rPr>
          <w:rFonts w:asciiTheme="majorBidi" w:hAnsiTheme="majorBidi" w:cstheme="majorBidi"/>
          <w:sz w:val="24"/>
          <w:szCs w:val="24"/>
        </w:rPr>
        <w:t>&lt;</w:t>
      </w:r>
      <w:r w:rsidR="00C168AE" w:rsidRPr="00C168AE">
        <w:rPr>
          <w:rFonts w:asciiTheme="majorBidi" w:hAnsiTheme="majorBidi" w:cstheme="majorBidi"/>
          <w:b/>
          <w:sz w:val="24"/>
          <w:szCs w:val="24"/>
        </w:rPr>
        <w:t>O;ZestAnkieta</w:t>
      </w:r>
      <w:r w:rsidR="00F82C6E">
        <w:rPr>
          <w:rFonts w:asciiTheme="majorBidi" w:hAnsiTheme="majorBidi" w:cstheme="majorBidi"/>
          <w:b/>
          <w:sz w:val="24"/>
          <w:szCs w:val="24"/>
        </w:rPr>
        <w:t>1</w:t>
      </w:r>
      <w:r w:rsidR="00C168AE" w:rsidRPr="00C168AE">
        <w:rPr>
          <w:rFonts w:ascii="Cascadia Mono" w:hAnsi="Cascadia Mono" w:cs="Cascadia Mono"/>
          <w:color w:val="000000"/>
          <w:sz w:val="19"/>
          <w:szCs w:val="19"/>
        </w:rPr>
        <w:t>.</w:t>
      </w:r>
      <w:r w:rsidR="00C168AE" w:rsidRPr="00C168AE">
        <w:rPr>
          <w:rFonts w:asciiTheme="majorBidi" w:hAnsiTheme="majorBidi" w:cstheme="majorBidi"/>
          <w:b/>
          <w:sz w:val="24"/>
          <w:szCs w:val="24"/>
        </w:rPr>
        <w:t>WynikCzynnik</w:t>
      </w:r>
      <w:r w:rsidR="00C168AE">
        <w:rPr>
          <w:rFonts w:asciiTheme="majorBidi" w:hAnsiTheme="majorBidi" w:cstheme="majorBidi"/>
          <w:b/>
          <w:sz w:val="24"/>
          <w:szCs w:val="24"/>
        </w:rPr>
        <w:t>5</w:t>
      </w:r>
      <w:r w:rsidR="00C168AE" w:rsidRPr="00C168AE">
        <w:rPr>
          <w:rFonts w:asciiTheme="majorBidi" w:hAnsiTheme="majorBidi" w:cstheme="majorBidi"/>
          <w:b/>
          <w:sz w:val="24"/>
          <w:szCs w:val="24"/>
        </w:rPr>
        <w:t>S</w:t>
      </w:r>
      <w:r w:rsidR="00C168AE" w:rsidRPr="00C168AE">
        <w:rPr>
          <w:rFonts w:asciiTheme="majorBidi" w:hAnsiTheme="majorBidi" w:cstheme="majorBidi"/>
          <w:sz w:val="28"/>
          <w:szCs w:val="28"/>
        </w:rPr>
        <w:t>&gt;</w:t>
      </w:r>
    </w:p>
    <w:p w14:paraId="4BFB7406" w14:textId="511566AA" w:rsidR="00D0574F" w:rsidRPr="00C168AE" w:rsidRDefault="008A562F" w:rsidP="005D4710">
      <w:pPr>
        <w:pStyle w:val="Akapitzlist"/>
        <w:spacing w:before="120" w:after="0" w:line="240" w:lineRule="auto"/>
        <w:ind w:left="0"/>
        <w:contextualSpacing w:val="0"/>
        <w:jc w:val="both"/>
        <w:rPr>
          <w:rFonts w:asciiTheme="majorBidi" w:hAnsiTheme="majorBidi" w:cstheme="majorBidi"/>
          <w:sz w:val="24"/>
          <w:szCs w:val="24"/>
        </w:rPr>
      </w:pPr>
      <w:r w:rsidRPr="00C168AE">
        <w:rPr>
          <w:rFonts w:asciiTheme="majorBidi" w:hAnsiTheme="majorBidi" w:cstheme="majorBidi"/>
          <w:sz w:val="24"/>
          <w:szCs w:val="24"/>
        </w:rPr>
        <w:t>6</w:t>
      </w:r>
      <w:r w:rsidR="00D0574F" w:rsidRPr="00C168AE">
        <w:rPr>
          <w:rFonts w:asciiTheme="majorBidi" w:hAnsiTheme="majorBidi" w:cstheme="majorBidi"/>
          <w:sz w:val="24"/>
          <w:szCs w:val="24"/>
        </w:rPr>
        <w:t xml:space="preserve">) dodatkowe </w:t>
      </w:r>
      <w:r w:rsidR="004E0F0D" w:rsidRPr="00C168AE">
        <w:rPr>
          <w:rFonts w:asciiTheme="majorBidi" w:hAnsiTheme="majorBidi" w:cstheme="majorBidi"/>
          <w:sz w:val="24"/>
          <w:szCs w:val="24"/>
        </w:rPr>
        <w:t xml:space="preserve">jakościowe </w:t>
      </w:r>
      <w:r w:rsidR="00D0574F" w:rsidRPr="00C168AE">
        <w:rPr>
          <w:rFonts w:asciiTheme="majorBidi" w:hAnsiTheme="majorBidi" w:cstheme="majorBidi"/>
          <w:sz w:val="24"/>
          <w:szCs w:val="24"/>
        </w:rPr>
        <w:t xml:space="preserve">czynniki ryzyka dotyczące instytucji obowiązanej:  </w:t>
      </w:r>
      <w:r w:rsidR="005D4710" w:rsidRPr="00C168AE">
        <w:rPr>
          <w:rFonts w:asciiTheme="majorBidi" w:hAnsiTheme="majorBidi" w:cstheme="majorBidi"/>
          <w:sz w:val="24"/>
          <w:szCs w:val="24"/>
        </w:rPr>
        <w:t xml:space="preserve">wynik </w:t>
      </w:r>
      <w:r w:rsidR="00C168AE" w:rsidRPr="00C168AE">
        <w:rPr>
          <w:rFonts w:asciiTheme="majorBidi" w:hAnsiTheme="majorBidi" w:cstheme="majorBidi"/>
          <w:sz w:val="24"/>
          <w:szCs w:val="24"/>
        </w:rPr>
        <w:t>&lt;</w:t>
      </w:r>
      <w:r w:rsidR="00C168AE" w:rsidRPr="00C168AE">
        <w:rPr>
          <w:rFonts w:asciiTheme="majorBidi" w:hAnsiTheme="majorBidi" w:cstheme="majorBidi"/>
          <w:b/>
          <w:sz w:val="24"/>
          <w:szCs w:val="24"/>
        </w:rPr>
        <w:t>O;ZestAnkieta</w:t>
      </w:r>
      <w:r w:rsidR="00F82C6E">
        <w:rPr>
          <w:rFonts w:asciiTheme="majorBidi" w:hAnsiTheme="majorBidi" w:cstheme="majorBidi"/>
          <w:b/>
          <w:sz w:val="24"/>
          <w:szCs w:val="24"/>
        </w:rPr>
        <w:t>1</w:t>
      </w:r>
      <w:r w:rsidR="00C168AE" w:rsidRPr="00C168AE">
        <w:rPr>
          <w:rFonts w:ascii="Cascadia Mono" w:hAnsi="Cascadia Mono" w:cs="Cascadia Mono"/>
          <w:color w:val="000000"/>
          <w:sz w:val="19"/>
          <w:szCs w:val="19"/>
        </w:rPr>
        <w:t>.</w:t>
      </w:r>
      <w:r w:rsidR="00C168AE" w:rsidRPr="00C168AE">
        <w:rPr>
          <w:rFonts w:asciiTheme="majorBidi" w:hAnsiTheme="majorBidi" w:cstheme="majorBidi"/>
          <w:b/>
          <w:sz w:val="24"/>
          <w:szCs w:val="24"/>
        </w:rPr>
        <w:t>WynikCzynnik</w:t>
      </w:r>
      <w:r w:rsidR="00C168AE">
        <w:rPr>
          <w:rFonts w:asciiTheme="majorBidi" w:hAnsiTheme="majorBidi" w:cstheme="majorBidi"/>
          <w:b/>
          <w:sz w:val="24"/>
          <w:szCs w:val="24"/>
        </w:rPr>
        <w:t>6</w:t>
      </w:r>
      <w:r w:rsidR="00C168AE" w:rsidRPr="00C168AE">
        <w:rPr>
          <w:rFonts w:asciiTheme="majorBidi" w:hAnsiTheme="majorBidi" w:cstheme="majorBidi"/>
          <w:b/>
          <w:sz w:val="24"/>
          <w:szCs w:val="24"/>
        </w:rPr>
        <w:t>S</w:t>
      </w:r>
      <w:r w:rsidR="00C168AE" w:rsidRPr="00C168AE">
        <w:rPr>
          <w:rFonts w:asciiTheme="majorBidi" w:hAnsiTheme="majorBidi" w:cstheme="majorBidi"/>
          <w:sz w:val="28"/>
          <w:szCs w:val="28"/>
        </w:rPr>
        <w:t>&gt;</w:t>
      </w:r>
      <w:r w:rsidR="005D4710" w:rsidRPr="00C168AE">
        <w:rPr>
          <w:rFonts w:asciiTheme="majorBidi" w:hAnsiTheme="majorBidi" w:cstheme="majorBidi"/>
          <w:sz w:val="24"/>
          <w:szCs w:val="24"/>
        </w:rPr>
        <w:t xml:space="preserve"> </w:t>
      </w:r>
    </w:p>
    <w:p w14:paraId="73FDCACB" w14:textId="1CEBEA73" w:rsidR="005E3FAF" w:rsidRPr="005E3FAF" w:rsidRDefault="005E3FAF" w:rsidP="005E3FAF">
      <w:pPr>
        <w:pStyle w:val="Akapitzlist"/>
        <w:spacing w:before="120" w:after="0" w:line="240" w:lineRule="auto"/>
        <w:ind w:left="0"/>
        <w:contextualSpacing w:val="0"/>
        <w:jc w:val="both"/>
        <w:rPr>
          <w:rFonts w:asciiTheme="majorBidi" w:hAnsiTheme="majorBidi" w:cstheme="majorBidi"/>
          <w:i/>
          <w:iCs/>
          <w:sz w:val="24"/>
          <w:szCs w:val="24"/>
        </w:rPr>
      </w:pPr>
      <w:r w:rsidRPr="00C168AE">
        <w:rPr>
          <w:rFonts w:asciiTheme="majorBidi" w:hAnsiTheme="majorBidi" w:cstheme="majorBidi"/>
          <w:i/>
          <w:iCs/>
          <w:color w:val="FF0000"/>
          <w:sz w:val="24"/>
          <w:szCs w:val="24"/>
        </w:rPr>
        <w:t>Uwaga! Przy każdym z pkt 1-6 system powinien podać zsumowane wyniki w ramach</w:t>
      </w:r>
      <w:r w:rsidRPr="005E3FAF">
        <w:rPr>
          <w:rFonts w:asciiTheme="majorBidi" w:hAnsiTheme="majorBidi" w:cstheme="majorBidi"/>
          <w:i/>
          <w:iCs/>
          <w:color w:val="FF0000"/>
          <w:sz w:val="24"/>
          <w:szCs w:val="24"/>
        </w:rPr>
        <w:t xml:space="preserve"> pojedynczych kategorii wskazanych w procedurze oceny ryzyka</w:t>
      </w:r>
      <w:r>
        <w:rPr>
          <w:rFonts w:asciiTheme="majorBidi" w:hAnsiTheme="majorBidi" w:cstheme="majorBidi"/>
          <w:i/>
          <w:iCs/>
          <w:color w:val="FF0000"/>
          <w:sz w:val="24"/>
          <w:szCs w:val="24"/>
        </w:rPr>
        <w:t xml:space="preserve">, pobrane z pojedynczych kart ocen indywidualnych transakcji. </w:t>
      </w:r>
    </w:p>
    <w:p w14:paraId="089EF422" w14:textId="29A044F4" w:rsidR="00851A76" w:rsidRDefault="00851A76" w:rsidP="00727EFD">
      <w:pPr>
        <w:pStyle w:val="Akapitzlist"/>
        <w:spacing w:before="120" w:after="0" w:line="240" w:lineRule="auto"/>
        <w:ind w:left="0"/>
        <w:contextualSpacing w:val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Wyżej wskazane wyniki </w:t>
      </w:r>
      <w:r w:rsidR="00C72A21">
        <w:rPr>
          <w:rFonts w:asciiTheme="majorBidi" w:hAnsiTheme="majorBidi" w:cstheme="majorBidi"/>
          <w:b/>
          <w:bCs/>
          <w:sz w:val="24"/>
          <w:szCs w:val="24"/>
        </w:rPr>
        <w:t xml:space="preserve">każdego z czynników </w:t>
      </w:r>
      <w:r w:rsidR="009C5D78">
        <w:rPr>
          <w:rFonts w:asciiTheme="majorBidi" w:hAnsiTheme="majorBidi" w:cstheme="majorBidi"/>
          <w:b/>
          <w:bCs/>
          <w:sz w:val="24"/>
          <w:szCs w:val="24"/>
        </w:rPr>
        <w:t>wskazanych w pkt 1-</w:t>
      </w:r>
      <w:r w:rsidR="00727EFD">
        <w:rPr>
          <w:rFonts w:asciiTheme="majorBidi" w:hAnsiTheme="majorBidi" w:cstheme="majorBidi"/>
          <w:b/>
          <w:bCs/>
          <w:sz w:val="24"/>
          <w:szCs w:val="24"/>
        </w:rPr>
        <w:t>5</w:t>
      </w:r>
      <w:r w:rsidR="009C5D78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</w:rPr>
        <w:t>zostały obliczon</w:t>
      </w:r>
      <w:r w:rsidR="009C5D78">
        <w:rPr>
          <w:rFonts w:asciiTheme="majorBidi" w:hAnsiTheme="majorBidi" w:cstheme="majorBidi"/>
          <w:b/>
          <w:bCs/>
          <w:sz w:val="24"/>
          <w:szCs w:val="24"/>
        </w:rPr>
        <w:t>e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jako iloraz wymienionych, konkretnych czynników ryzyka transakcji, dokonanych w okresie rozliczeniowym, określonych jako transakcje o podwyższonym ryzyku (+) do </w:t>
      </w:r>
      <w:r>
        <w:rPr>
          <w:rFonts w:asciiTheme="majorBidi" w:hAnsiTheme="majorBidi" w:cstheme="majorBidi"/>
          <w:b/>
          <w:bCs/>
          <w:sz w:val="24"/>
          <w:szCs w:val="24"/>
        </w:rPr>
        <w:lastRenderedPageBreak/>
        <w:t xml:space="preserve">ogólnej liczby transakcji, dokonanych w okresie rozliczeniowym. </w:t>
      </w:r>
      <w:r w:rsidRPr="003C7CD9">
        <w:rPr>
          <w:rFonts w:asciiTheme="majorBidi" w:hAnsiTheme="majorBidi" w:cstheme="majorBidi"/>
          <w:b/>
          <w:bCs/>
          <w:sz w:val="24"/>
          <w:szCs w:val="24"/>
        </w:rPr>
        <w:t>Wartość wyrażona jest ułamkiem dziesiętnym</w:t>
      </w:r>
      <w:r w:rsidR="005C3192">
        <w:rPr>
          <w:rFonts w:asciiTheme="majorBidi" w:hAnsiTheme="majorBidi" w:cstheme="majorBidi"/>
          <w:b/>
          <w:bCs/>
          <w:sz w:val="24"/>
          <w:szCs w:val="24"/>
        </w:rPr>
        <w:t>.</w:t>
      </w:r>
    </w:p>
    <w:p w14:paraId="550869AF" w14:textId="0D7C5602" w:rsidR="00944E26" w:rsidRDefault="00944E26" w:rsidP="00727EFD">
      <w:pPr>
        <w:pStyle w:val="Akapitzlist"/>
        <w:spacing w:before="120" w:after="0" w:line="240" w:lineRule="auto"/>
        <w:ind w:left="0"/>
        <w:contextualSpacing w:val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3C7CD9">
        <w:rPr>
          <w:rFonts w:asciiTheme="majorBidi" w:hAnsiTheme="majorBidi" w:cstheme="majorBidi"/>
          <w:b/>
          <w:bCs/>
          <w:sz w:val="24"/>
          <w:szCs w:val="24"/>
        </w:rPr>
        <w:t xml:space="preserve">Wyżej wskazany wynik czynnika wskazanego w pkt </w:t>
      </w:r>
      <w:r w:rsidR="00727EFD">
        <w:rPr>
          <w:rFonts w:asciiTheme="majorBidi" w:hAnsiTheme="majorBidi" w:cstheme="majorBidi"/>
          <w:b/>
          <w:bCs/>
          <w:sz w:val="24"/>
          <w:szCs w:val="24"/>
        </w:rPr>
        <w:t>6</w:t>
      </w:r>
      <w:r w:rsidRPr="003C7CD9">
        <w:rPr>
          <w:rFonts w:asciiTheme="majorBidi" w:hAnsiTheme="majorBidi" w:cstheme="majorBidi"/>
          <w:b/>
          <w:bCs/>
          <w:sz w:val="24"/>
          <w:szCs w:val="24"/>
        </w:rPr>
        <w:t xml:space="preserve"> został obliczone jako iloraz tego elementów czynnika ryzyka generującego podwyższone ryzyku (+) do ogólnej liczby elementów tego czynnika ryzyka, występujących w okresie rozliczeniowym. Wartość wyrażona jest ułamkiem dziesiętnym</w:t>
      </w:r>
      <w:r w:rsidR="005C3192">
        <w:rPr>
          <w:rFonts w:asciiTheme="majorBidi" w:hAnsiTheme="majorBidi" w:cstheme="majorBidi"/>
          <w:b/>
          <w:bCs/>
          <w:sz w:val="24"/>
          <w:szCs w:val="24"/>
        </w:rPr>
        <w:t>.</w:t>
      </w:r>
    </w:p>
    <w:p w14:paraId="3ECB344B" w14:textId="23145658" w:rsidR="005D4710" w:rsidRPr="002C571D" w:rsidRDefault="005D4710" w:rsidP="005D4710">
      <w:pPr>
        <w:spacing w:before="120" w:after="0" w:line="24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2. C</w:t>
      </w:r>
      <w:r w:rsidRPr="00DA7A9A">
        <w:rPr>
          <w:rFonts w:asciiTheme="majorBidi" w:hAnsiTheme="majorBidi" w:cstheme="majorBidi"/>
          <w:color w:val="000000"/>
          <w:sz w:val="24"/>
          <w:szCs w:val="24"/>
        </w:rPr>
        <w:t>zynnikom ryzyka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, wskazanym w ust. 1 </w:t>
      </w:r>
      <w:r w:rsidRPr="002C571D">
        <w:rPr>
          <w:rFonts w:asciiTheme="majorBidi" w:hAnsiTheme="majorBidi" w:cstheme="majorBidi"/>
          <w:color w:val="000000"/>
          <w:sz w:val="24"/>
          <w:szCs w:val="24"/>
        </w:rPr>
        <w:t>powyżej zostały przypisane następujące wagi:</w:t>
      </w:r>
    </w:p>
    <w:p w14:paraId="14A1F34C" w14:textId="77777777" w:rsidR="005D4710" w:rsidRPr="002C571D" w:rsidRDefault="005D4710" w:rsidP="005D4710">
      <w:pPr>
        <w:pStyle w:val="Akapitzlist"/>
        <w:spacing w:before="120" w:after="0" w:line="240" w:lineRule="auto"/>
        <w:ind w:left="0"/>
        <w:contextualSpacing w:val="0"/>
        <w:jc w:val="both"/>
        <w:rPr>
          <w:rFonts w:asciiTheme="majorBidi" w:hAnsiTheme="majorBidi" w:cstheme="majorBidi"/>
          <w:sz w:val="24"/>
          <w:szCs w:val="24"/>
        </w:rPr>
      </w:pPr>
      <w:r w:rsidRPr="002C571D">
        <w:rPr>
          <w:rFonts w:asciiTheme="majorBidi" w:hAnsiTheme="majorBidi" w:cstheme="majorBidi"/>
          <w:sz w:val="24"/>
          <w:szCs w:val="24"/>
        </w:rPr>
        <w:t>1) czynniki ryzyka dotyczące klientów oraz beneficjentów rzeczywistych klientów: waga 30%,</w:t>
      </w:r>
    </w:p>
    <w:p w14:paraId="23FF5A1E" w14:textId="77777777" w:rsidR="005D4710" w:rsidRPr="002C571D" w:rsidRDefault="005D4710" w:rsidP="005D4710">
      <w:pPr>
        <w:pStyle w:val="Akapitzlist"/>
        <w:spacing w:before="120" w:after="0" w:line="240" w:lineRule="auto"/>
        <w:ind w:left="0"/>
        <w:contextualSpacing w:val="0"/>
        <w:jc w:val="both"/>
        <w:rPr>
          <w:rFonts w:asciiTheme="majorBidi" w:hAnsiTheme="majorBidi" w:cstheme="majorBidi"/>
          <w:sz w:val="24"/>
          <w:szCs w:val="24"/>
        </w:rPr>
      </w:pPr>
      <w:r w:rsidRPr="002C571D">
        <w:rPr>
          <w:rFonts w:asciiTheme="majorBidi" w:hAnsiTheme="majorBidi" w:cstheme="majorBidi"/>
          <w:sz w:val="24"/>
          <w:szCs w:val="24"/>
        </w:rPr>
        <w:t xml:space="preserve">2) </w:t>
      </w:r>
      <w:r w:rsidRPr="002C571D">
        <w:rPr>
          <w:rFonts w:asciiTheme="majorBidi" w:hAnsiTheme="majorBidi" w:cstheme="majorBidi"/>
          <w:color w:val="000000"/>
          <w:sz w:val="24"/>
          <w:szCs w:val="24"/>
        </w:rPr>
        <w:t>czynniki ryzyka dotyczące państw i obszarów geograficznych</w:t>
      </w:r>
      <w:r w:rsidRPr="002C571D">
        <w:rPr>
          <w:rFonts w:asciiTheme="majorBidi" w:hAnsiTheme="majorBidi" w:cstheme="majorBidi"/>
          <w:sz w:val="24"/>
          <w:szCs w:val="24"/>
        </w:rPr>
        <w:t>: waga 30%,</w:t>
      </w:r>
    </w:p>
    <w:p w14:paraId="1630EA85" w14:textId="0E12F19D" w:rsidR="005D4710" w:rsidRPr="002C571D" w:rsidRDefault="005D4710" w:rsidP="00727EFD">
      <w:pPr>
        <w:pStyle w:val="Akapitzlist"/>
        <w:spacing w:before="120" w:after="0" w:line="240" w:lineRule="auto"/>
        <w:ind w:left="0"/>
        <w:contextualSpacing w:val="0"/>
        <w:jc w:val="both"/>
        <w:rPr>
          <w:rFonts w:asciiTheme="majorBidi" w:hAnsiTheme="majorBidi" w:cstheme="majorBidi"/>
          <w:sz w:val="24"/>
          <w:szCs w:val="24"/>
        </w:rPr>
      </w:pPr>
      <w:r w:rsidRPr="002C571D">
        <w:rPr>
          <w:rFonts w:asciiTheme="majorBidi" w:hAnsiTheme="majorBidi" w:cstheme="majorBidi"/>
          <w:color w:val="000000"/>
          <w:sz w:val="24"/>
          <w:szCs w:val="24"/>
        </w:rPr>
        <w:t xml:space="preserve">3) czynniki ryzyka dotyczące produktów, usług i transakcji: </w:t>
      </w:r>
      <w:r w:rsidRPr="002C571D">
        <w:rPr>
          <w:rFonts w:asciiTheme="majorBidi" w:hAnsiTheme="majorBidi" w:cstheme="majorBidi"/>
          <w:sz w:val="24"/>
          <w:szCs w:val="24"/>
        </w:rPr>
        <w:t xml:space="preserve">waga </w:t>
      </w:r>
      <w:r w:rsidR="00727EFD" w:rsidRPr="002C571D">
        <w:rPr>
          <w:rFonts w:asciiTheme="majorBidi" w:hAnsiTheme="majorBidi" w:cstheme="majorBidi"/>
          <w:sz w:val="24"/>
          <w:szCs w:val="24"/>
        </w:rPr>
        <w:t>15</w:t>
      </w:r>
      <w:r w:rsidRPr="002C571D">
        <w:rPr>
          <w:rFonts w:asciiTheme="majorBidi" w:hAnsiTheme="majorBidi" w:cstheme="majorBidi"/>
          <w:color w:val="000000"/>
          <w:sz w:val="24"/>
          <w:szCs w:val="24"/>
        </w:rPr>
        <w:t>%</w:t>
      </w:r>
    </w:p>
    <w:p w14:paraId="6DA1BDF1" w14:textId="77777777" w:rsidR="005D4710" w:rsidRPr="002C571D" w:rsidRDefault="005D4710" w:rsidP="005D4710">
      <w:pPr>
        <w:pStyle w:val="Akapitzlist"/>
        <w:spacing w:before="120" w:after="0" w:line="240" w:lineRule="auto"/>
        <w:ind w:left="0"/>
        <w:contextualSpacing w:val="0"/>
        <w:jc w:val="both"/>
        <w:rPr>
          <w:rFonts w:asciiTheme="majorBidi" w:hAnsiTheme="majorBidi" w:cstheme="majorBidi"/>
          <w:sz w:val="24"/>
          <w:szCs w:val="24"/>
        </w:rPr>
      </w:pPr>
      <w:r w:rsidRPr="002C571D">
        <w:rPr>
          <w:rFonts w:asciiTheme="majorBidi" w:hAnsiTheme="majorBidi" w:cstheme="majorBidi"/>
          <w:sz w:val="24"/>
          <w:szCs w:val="24"/>
        </w:rPr>
        <w:t>4) czynniki ryzyka dotyczące kanałów dostaw: waga 5 %,</w:t>
      </w:r>
    </w:p>
    <w:p w14:paraId="4680A9A9" w14:textId="4A3EB6AC" w:rsidR="00727EFD" w:rsidRPr="002C571D" w:rsidRDefault="008A562F" w:rsidP="00675903">
      <w:pPr>
        <w:pStyle w:val="Akapitzlist"/>
        <w:spacing w:before="120" w:after="0" w:line="240" w:lineRule="auto"/>
        <w:ind w:left="0"/>
        <w:contextualSpacing w:val="0"/>
        <w:jc w:val="both"/>
        <w:rPr>
          <w:rFonts w:asciiTheme="majorBidi" w:hAnsiTheme="majorBidi" w:cstheme="majorBidi"/>
          <w:sz w:val="24"/>
          <w:szCs w:val="24"/>
        </w:rPr>
      </w:pPr>
      <w:r w:rsidRPr="002C571D">
        <w:rPr>
          <w:rFonts w:asciiTheme="majorBidi" w:hAnsiTheme="majorBidi" w:cstheme="majorBidi"/>
          <w:sz w:val="24"/>
          <w:szCs w:val="24"/>
        </w:rPr>
        <w:t>5</w:t>
      </w:r>
      <w:r w:rsidR="00727EFD" w:rsidRPr="002C571D">
        <w:rPr>
          <w:rFonts w:asciiTheme="majorBidi" w:hAnsiTheme="majorBidi" w:cstheme="majorBidi"/>
          <w:sz w:val="24"/>
          <w:szCs w:val="24"/>
        </w:rPr>
        <w:t xml:space="preserve">) czynniki ryzyka dotyczące dokonywanych  czynności, o których mowa w </w:t>
      </w:r>
      <w:hyperlink r:id="rId6" w:anchor="/document/16794052?unitId=art(79)pkt(6(a))&amp;cm=DOCUMENT" w:history="1">
        <w:r w:rsidR="00727EFD" w:rsidRPr="002C571D">
          <w:rPr>
            <w:rFonts w:asciiTheme="majorBidi" w:hAnsiTheme="majorBidi" w:cstheme="majorBidi"/>
            <w:sz w:val="24"/>
            <w:szCs w:val="24"/>
          </w:rPr>
          <w:t>art. 79 pkt 6a</w:t>
        </w:r>
      </w:hyperlink>
      <w:r w:rsidR="00727EFD" w:rsidRPr="002C571D">
        <w:rPr>
          <w:rFonts w:asciiTheme="majorBidi" w:hAnsiTheme="majorBidi" w:cstheme="majorBidi"/>
          <w:sz w:val="24"/>
          <w:szCs w:val="24"/>
        </w:rPr>
        <w:t xml:space="preserve"> ustawy z dnia 14 lutego 1991 r. - Prawo o notariacie: waga 5 %</w:t>
      </w:r>
    </w:p>
    <w:p w14:paraId="7100A748" w14:textId="139F4020" w:rsidR="005D4710" w:rsidRPr="002C571D" w:rsidRDefault="00727EFD" w:rsidP="005D4710">
      <w:pPr>
        <w:pStyle w:val="Akapitzlist"/>
        <w:spacing w:before="120" w:after="0" w:line="240" w:lineRule="auto"/>
        <w:ind w:left="0"/>
        <w:contextualSpacing w:val="0"/>
        <w:jc w:val="both"/>
        <w:rPr>
          <w:rFonts w:asciiTheme="majorBidi" w:hAnsiTheme="majorBidi" w:cstheme="majorBidi"/>
          <w:sz w:val="24"/>
          <w:szCs w:val="24"/>
        </w:rPr>
      </w:pPr>
      <w:r w:rsidRPr="002C571D">
        <w:rPr>
          <w:rFonts w:asciiTheme="majorBidi" w:hAnsiTheme="majorBidi" w:cstheme="majorBidi"/>
          <w:sz w:val="24"/>
          <w:szCs w:val="24"/>
        </w:rPr>
        <w:t>6</w:t>
      </w:r>
      <w:r w:rsidR="005D4710" w:rsidRPr="002C571D">
        <w:rPr>
          <w:rFonts w:asciiTheme="majorBidi" w:hAnsiTheme="majorBidi" w:cstheme="majorBidi"/>
          <w:sz w:val="24"/>
          <w:szCs w:val="24"/>
        </w:rPr>
        <w:t>) dodatkowe czynniki ryzyka dotyczące instytucji obowiązanej:  waga 15%</w:t>
      </w:r>
    </w:p>
    <w:p w14:paraId="411E622D" w14:textId="1E337E17" w:rsidR="005D4710" w:rsidRPr="00927FA1" w:rsidRDefault="005D4710" w:rsidP="00994284">
      <w:pPr>
        <w:pStyle w:val="Nagwek3"/>
        <w:spacing w:before="120"/>
        <w:jc w:val="both"/>
        <w:rPr>
          <w:rFonts w:asciiTheme="majorBidi" w:eastAsiaTheme="minorHAnsi" w:hAnsiTheme="majorBidi" w:cstheme="majorBidi"/>
          <w:color w:val="auto"/>
          <w:sz w:val="24"/>
        </w:rPr>
      </w:pPr>
      <w:r w:rsidRPr="002C571D">
        <w:rPr>
          <w:rFonts w:asciiTheme="majorBidi" w:eastAsiaTheme="minorHAnsi" w:hAnsiTheme="majorBidi" w:cstheme="majorBidi"/>
          <w:color w:val="auto"/>
          <w:sz w:val="24"/>
        </w:rPr>
        <w:t xml:space="preserve">Ryzyko standardowe zostanie obliczone </w:t>
      </w:r>
      <w:r w:rsidRPr="00927FA1">
        <w:rPr>
          <w:rFonts w:asciiTheme="majorBidi" w:eastAsiaTheme="minorHAnsi" w:hAnsiTheme="majorBidi" w:cstheme="majorBidi"/>
          <w:color w:val="auto"/>
          <w:sz w:val="24"/>
        </w:rPr>
        <w:t xml:space="preserve">jako </w:t>
      </w:r>
      <w:r w:rsidR="00994284" w:rsidRPr="00927FA1">
        <w:rPr>
          <w:rFonts w:asciiTheme="majorBidi" w:eastAsiaTheme="minorHAnsi" w:hAnsiTheme="majorBidi" w:cstheme="majorBidi"/>
          <w:color w:val="auto"/>
          <w:sz w:val="24"/>
        </w:rPr>
        <w:t>suma</w:t>
      </w:r>
      <w:r w:rsidRPr="00927FA1">
        <w:rPr>
          <w:rFonts w:asciiTheme="majorBidi" w:eastAsiaTheme="minorHAnsi" w:hAnsiTheme="majorBidi" w:cstheme="majorBidi"/>
          <w:color w:val="auto"/>
          <w:sz w:val="24"/>
        </w:rPr>
        <w:t xml:space="preserve"> punktacji wszystkich czynników ryzyka wskazanych w ust. 1, z uwzględnieniem wag z wskazanych ust. 2 powyżej. </w:t>
      </w:r>
    </w:p>
    <w:p w14:paraId="5F74EAEE" w14:textId="70C6FFDB" w:rsidR="00962013" w:rsidRDefault="00962013" w:rsidP="00962013">
      <w:pPr>
        <w:spacing w:before="120" w:after="0" w:line="240" w:lineRule="auto"/>
        <w:jc w:val="both"/>
        <w:rPr>
          <w:rFonts w:asciiTheme="majorBidi" w:hAnsiTheme="majorBidi" w:cstheme="majorBidi"/>
          <w:sz w:val="24"/>
        </w:rPr>
      </w:pPr>
      <w:r w:rsidRPr="00927FA1">
        <w:rPr>
          <w:rFonts w:asciiTheme="majorBidi" w:hAnsiTheme="majorBidi" w:cstheme="majorBidi"/>
          <w:sz w:val="24"/>
        </w:rPr>
        <w:t>3) Ryzyko standardowe zostanie obliczone jako suma punktacji wszystkich</w:t>
      </w:r>
      <w:r w:rsidRPr="00C40E34">
        <w:rPr>
          <w:rFonts w:asciiTheme="majorBidi" w:hAnsiTheme="majorBidi" w:cstheme="majorBidi"/>
          <w:sz w:val="24"/>
        </w:rPr>
        <w:t xml:space="preserve"> czynników ryzyka, </w:t>
      </w:r>
      <w:r>
        <w:rPr>
          <w:rFonts w:asciiTheme="majorBidi" w:hAnsiTheme="majorBidi" w:cstheme="majorBidi"/>
          <w:sz w:val="24"/>
        </w:rPr>
        <w:t xml:space="preserve">wskazanych </w:t>
      </w:r>
      <w:r w:rsidRPr="00C40E34">
        <w:rPr>
          <w:rFonts w:asciiTheme="majorBidi" w:hAnsiTheme="majorBidi" w:cstheme="majorBidi"/>
          <w:sz w:val="24"/>
        </w:rPr>
        <w:t xml:space="preserve">ust. </w:t>
      </w:r>
      <w:r>
        <w:rPr>
          <w:rFonts w:asciiTheme="majorBidi" w:hAnsiTheme="majorBidi" w:cstheme="majorBidi"/>
          <w:sz w:val="24"/>
        </w:rPr>
        <w:t>1</w:t>
      </w:r>
      <w:r w:rsidRPr="00C40E34">
        <w:rPr>
          <w:rFonts w:asciiTheme="majorBidi" w:hAnsiTheme="majorBidi" w:cstheme="majorBidi"/>
          <w:sz w:val="24"/>
        </w:rPr>
        <w:t xml:space="preserve"> </w:t>
      </w:r>
      <w:r>
        <w:rPr>
          <w:rFonts w:asciiTheme="majorBidi" w:hAnsiTheme="majorBidi" w:cstheme="majorBidi"/>
          <w:sz w:val="24"/>
        </w:rPr>
        <w:t xml:space="preserve">powyżej, </w:t>
      </w:r>
      <w:r w:rsidRPr="00C40E34">
        <w:rPr>
          <w:rFonts w:asciiTheme="majorBidi" w:hAnsiTheme="majorBidi" w:cstheme="majorBidi"/>
          <w:sz w:val="24"/>
        </w:rPr>
        <w:t xml:space="preserve">z uwzględnieniem wag z ust. 2 powyżej. </w:t>
      </w:r>
    </w:p>
    <w:p w14:paraId="073FCA7A" w14:textId="68A8AE66" w:rsidR="00824594" w:rsidRPr="00824594" w:rsidRDefault="00824594" w:rsidP="00824594">
      <w:pPr>
        <w:spacing w:before="120" w:after="0" w:line="240" w:lineRule="auto"/>
        <w:jc w:val="both"/>
        <w:rPr>
          <w:rFonts w:asciiTheme="majorBidi" w:hAnsiTheme="majorBidi" w:cstheme="majorBidi"/>
          <w:i/>
          <w:iCs/>
          <w:color w:val="FF0000"/>
          <w:sz w:val="24"/>
        </w:rPr>
      </w:pPr>
      <w:r w:rsidRPr="00824594">
        <w:rPr>
          <w:rFonts w:asciiTheme="majorBidi" w:hAnsiTheme="majorBidi" w:cstheme="majorBidi"/>
          <w:color w:val="FF0000"/>
          <w:sz w:val="24"/>
        </w:rPr>
        <w:t xml:space="preserve">Wartość ryzyka standardowego notariusza wynosi </w:t>
      </w:r>
      <w:r w:rsidR="00A2517C">
        <w:rPr>
          <w:rFonts w:asciiTheme="majorBidi" w:hAnsiTheme="majorBidi" w:cstheme="majorBidi"/>
          <w:color w:val="FF0000"/>
          <w:sz w:val="24"/>
        </w:rPr>
        <w:t>&lt;O</w:t>
      </w:r>
      <w:r w:rsidR="00047DE1">
        <w:rPr>
          <w:rFonts w:asciiTheme="majorBidi" w:hAnsiTheme="majorBidi" w:cstheme="majorBidi"/>
          <w:color w:val="FF0000"/>
          <w:sz w:val="24"/>
        </w:rPr>
        <w:t>;</w:t>
      </w:r>
      <w:r w:rsidR="00A2517C">
        <w:rPr>
          <w:rFonts w:asciiTheme="majorBidi" w:hAnsiTheme="majorBidi" w:cstheme="majorBidi"/>
          <w:color w:val="FF0000"/>
          <w:sz w:val="24"/>
        </w:rPr>
        <w:t>ZestAnkieta</w:t>
      </w:r>
      <w:r w:rsidR="00F82C6E">
        <w:rPr>
          <w:rFonts w:asciiTheme="majorBidi" w:hAnsiTheme="majorBidi" w:cstheme="majorBidi"/>
          <w:color w:val="FF0000"/>
          <w:sz w:val="24"/>
        </w:rPr>
        <w:t>1</w:t>
      </w:r>
      <w:r w:rsidR="00A2517C">
        <w:rPr>
          <w:rFonts w:asciiTheme="majorBidi" w:hAnsiTheme="majorBidi" w:cstheme="majorBidi"/>
          <w:color w:val="FF0000"/>
          <w:sz w:val="24"/>
        </w:rPr>
        <w:t>.RyzykoStandardoweS&gt;</w:t>
      </w:r>
      <w:r w:rsidRPr="00824594">
        <w:rPr>
          <w:rFonts w:asciiTheme="majorBidi" w:hAnsiTheme="majorBidi" w:cstheme="majorBidi"/>
          <w:color w:val="FF0000"/>
          <w:sz w:val="24"/>
        </w:rPr>
        <w:t xml:space="preserve"> – ryzyko </w:t>
      </w:r>
      <w:r w:rsidR="00A2517C">
        <w:rPr>
          <w:rFonts w:asciiTheme="majorBidi" w:hAnsiTheme="majorBidi" w:cstheme="majorBidi"/>
          <w:color w:val="FF0000"/>
          <w:sz w:val="24"/>
        </w:rPr>
        <w:t>&lt;O</w:t>
      </w:r>
      <w:r w:rsidR="00047DE1">
        <w:rPr>
          <w:rFonts w:asciiTheme="majorBidi" w:hAnsiTheme="majorBidi" w:cstheme="majorBidi"/>
          <w:color w:val="FF0000"/>
          <w:sz w:val="24"/>
        </w:rPr>
        <w:t>;</w:t>
      </w:r>
      <w:r w:rsidR="00A2517C">
        <w:rPr>
          <w:rFonts w:asciiTheme="majorBidi" w:hAnsiTheme="majorBidi" w:cstheme="majorBidi"/>
          <w:color w:val="FF0000"/>
          <w:sz w:val="24"/>
        </w:rPr>
        <w:t>ZestAnkieta</w:t>
      </w:r>
      <w:r w:rsidR="00F82C6E">
        <w:rPr>
          <w:rFonts w:asciiTheme="majorBidi" w:hAnsiTheme="majorBidi" w:cstheme="majorBidi"/>
          <w:color w:val="FF0000"/>
          <w:sz w:val="24"/>
        </w:rPr>
        <w:t>1</w:t>
      </w:r>
      <w:r w:rsidR="00A2517C">
        <w:rPr>
          <w:rFonts w:asciiTheme="majorBidi" w:hAnsiTheme="majorBidi" w:cstheme="majorBidi"/>
          <w:color w:val="FF0000"/>
          <w:sz w:val="24"/>
        </w:rPr>
        <w:t>.Ryzyko&gt;</w:t>
      </w:r>
      <w:r w:rsidRPr="00824594">
        <w:rPr>
          <w:rFonts w:asciiTheme="majorBidi" w:hAnsiTheme="majorBidi" w:cstheme="majorBidi"/>
          <w:color w:val="FF0000"/>
          <w:sz w:val="24"/>
        </w:rPr>
        <w:t xml:space="preserve"> </w:t>
      </w:r>
      <w:r w:rsidRPr="00824594">
        <w:rPr>
          <w:rFonts w:asciiTheme="majorBidi" w:hAnsiTheme="majorBidi" w:cstheme="majorBidi"/>
          <w:i/>
          <w:iCs/>
          <w:color w:val="FF0000"/>
          <w:sz w:val="24"/>
        </w:rPr>
        <w:t>(niskie / średnie / wysokie)</w:t>
      </w:r>
    </w:p>
    <w:p w14:paraId="08A099F9" w14:textId="77777777" w:rsidR="005D4710" w:rsidRPr="005D4710" w:rsidRDefault="005D4710" w:rsidP="008A562F">
      <w:pPr>
        <w:spacing w:before="120"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II. Mityganty ryzyka. </w:t>
      </w:r>
    </w:p>
    <w:p w14:paraId="143F9C62" w14:textId="77777777" w:rsidR="005D4710" w:rsidRPr="002C571D" w:rsidRDefault="005D4710" w:rsidP="005D4710">
      <w:pPr>
        <w:pStyle w:val="Akapitzlist"/>
        <w:spacing w:before="120" w:after="0" w:line="240" w:lineRule="auto"/>
        <w:ind w:left="0"/>
        <w:contextualSpacing w:val="0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Niżej wymienionym </w:t>
      </w:r>
      <w:proofErr w:type="spellStart"/>
      <w:r>
        <w:rPr>
          <w:rFonts w:asciiTheme="majorBidi" w:hAnsiTheme="majorBidi" w:cstheme="majorBidi"/>
          <w:color w:val="000000"/>
          <w:sz w:val="24"/>
          <w:szCs w:val="24"/>
        </w:rPr>
        <w:t>mitygantom</w:t>
      </w:r>
      <w:proofErr w:type="spellEnd"/>
      <w:r>
        <w:rPr>
          <w:rFonts w:asciiTheme="majorBidi" w:hAnsiTheme="majorBidi" w:cstheme="majorBidi"/>
          <w:color w:val="000000"/>
          <w:sz w:val="24"/>
          <w:szCs w:val="24"/>
        </w:rPr>
        <w:t xml:space="preserve"> przypisano </w:t>
      </w:r>
      <w:r w:rsidRPr="002C571D">
        <w:rPr>
          <w:rFonts w:asciiTheme="majorBidi" w:hAnsiTheme="majorBidi" w:cstheme="majorBidi"/>
          <w:color w:val="000000"/>
          <w:sz w:val="24"/>
          <w:szCs w:val="24"/>
        </w:rPr>
        <w:t xml:space="preserve">następujące wagi (waga została ustalona z uwagi na ich skuteczność w procesie przeciwdziałania praniu pieniędzy i finansowaniu terroryzmu): </w:t>
      </w:r>
    </w:p>
    <w:p w14:paraId="675F148C" w14:textId="77777777" w:rsidR="005D4710" w:rsidRPr="002C571D" w:rsidRDefault="005D4710" w:rsidP="005D4710">
      <w:pPr>
        <w:spacing w:before="120" w:after="0" w:line="240" w:lineRule="auto"/>
        <w:jc w:val="both"/>
        <w:rPr>
          <w:rFonts w:asciiTheme="majorBidi" w:hAnsiTheme="majorBidi" w:cstheme="majorBidi"/>
          <w:bCs/>
          <w:sz w:val="24"/>
          <w:szCs w:val="24"/>
        </w:rPr>
      </w:pPr>
      <w:r w:rsidRPr="002C571D">
        <w:rPr>
          <w:rFonts w:asciiTheme="majorBidi" w:hAnsiTheme="majorBidi" w:cstheme="majorBidi"/>
          <w:bCs/>
          <w:sz w:val="24"/>
          <w:szCs w:val="24"/>
        </w:rPr>
        <w:t>a) w odniesieniu do klienta i beneficjenta rzeczywistego klienta: stosowanie środków bezpieczeństwa finansowego wskazanych w art. 34 ust. 1 pkt 1 i 2</w:t>
      </w:r>
      <w:r w:rsidR="009C5D78" w:rsidRPr="002C571D">
        <w:rPr>
          <w:rFonts w:asciiTheme="majorBidi" w:hAnsiTheme="majorBidi" w:cstheme="majorBidi"/>
          <w:bCs/>
          <w:sz w:val="24"/>
          <w:szCs w:val="24"/>
        </w:rPr>
        <w:t xml:space="preserve"> Ustawy</w:t>
      </w:r>
      <w:r w:rsidRPr="002C571D">
        <w:rPr>
          <w:rFonts w:asciiTheme="majorBidi" w:hAnsiTheme="majorBidi" w:cstheme="majorBidi"/>
          <w:bCs/>
          <w:sz w:val="24"/>
          <w:szCs w:val="24"/>
        </w:rPr>
        <w:t>:  - 30 %</w:t>
      </w:r>
    </w:p>
    <w:p w14:paraId="45A41A7F" w14:textId="77777777" w:rsidR="005D4710" w:rsidRPr="002C571D" w:rsidRDefault="005D4710" w:rsidP="005D4710">
      <w:pPr>
        <w:spacing w:before="120" w:after="0" w:line="240" w:lineRule="auto"/>
        <w:jc w:val="both"/>
        <w:rPr>
          <w:rFonts w:asciiTheme="majorBidi" w:hAnsiTheme="majorBidi" w:cstheme="majorBidi"/>
          <w:bCs/>
          <w:sz w:val="24"/>
          <w:szCs w:val="24"/>
        </w:rPr>
      </w:pPr>
      <w:r w:rsidRPr="002C571D">
        <w:rPr>
          <w:rFonts w:asciiTheme="majorBidi" w:hAnsiTheme="majorBidi" w:cstheme="majorBidi"/>
          <w:sz w:val="24"/>
          <w:szCs w:val="24"/>
        </w:rPr>
        <w:t xml:space="preserve">b) uzyskiwanie dodatkowych informacji na temat zawieranych transakcji, ich celu i okoliczności -  </w:t>
      </w:r>
      <w:r w:rsidRPr="002C571D">
        <w:rPr>
          <w:rFonts w:asciiTheme="majorBidi" w:hAnsiTheme="majorBidi" w:cstheme="majorBidi"/>
          <w:bCs/>
          <w:sz w:val="24"/>
          <w:szCs w:val="24"/>
        </w:rPr>
        <w:t>10 %</w:t>
      </w:r>
    </w:p>
    <w:p w14:paraId="43995998" w14:textId="77777777" w:rsidR="005D4710" w:rsidRPr="002C571D" w:rsidRDefault="005D4710" w:rsidP="005D4710">
      <w:pPr>
        <w:spacing w:before="120" w:after="0" w:line="240" w:lineRule="auto"/>
        <w:jc w:val="both"/>
        <w:rPr>
          <w:rFonts w:asciiTheme="majorBidi" w:hAnsiTheme="majorBidi" w:cstheme="majorBidi"/>
          <w:bCs/>
          <w:sz w:val="24"/>
          <w:szCs w:val="24"/>
        </w:rPr>
      </w:pPr>
      <w:r w:rsidRPr="002C571D">
        <w:rPr>
          <w:rFonts w:asciiTheme="majorBidi" w:hAnsiTheme="majorBidi" w:cstheme="majorBidi"/>
          <w:bCs/>
          <w:sz w:val="24"/>
          <w:szCs w:val="24"/>
        </w:rPr>
        <w:t xml:space="preserve">c) weryfikacja danych dotyczących przedmiotów i transakcji w oparciu o dokumenty urzędowe i dane pochodzące z </w:t>
      </w:r>
      <w:r w:rsidRPr="002C571D">
        <w:rPr>
          <w:rFonts w:asciiTheme="majorBidi" w:hAnsiTheme="majorBidi" w:cstheme="majorBidi"/>
          <w:sz w:val="24"/>
          <w:szCs w:val="24"/>
        </w:rPr>
        <w:t xml:space="preserve">publicznych rejestrów -  </w:t>
      </w:r>
      <w:r w:rsidRPr="002C571D">
        <w:rPr>
          <w:rFonts w:asciiTheme="majorBidi" w:hAnsiTheme="majorBidi" w:cstheme="majorBidi"/>
          <w:bCs/>
          <w:sz w:val="24"/>
          <w:szCs w:val="24"/>
        </w:rPr>
        <w:t>30 %</w:t>
      </w:r>
    </w:p>
    <w:p w14:paraId="6D0F05CA" w14:textId="77777777" w:rsidR="005D4710" w:rsidRPr="002C571D" w:rsidRDefault="005D4710" w:rsidP="005D4710">
      <w:pPr>
        <w:spacing w:before="120" w:after="0" w:line="240" w:lineRule="auto"/>
        <w:jc w:val="both"/>
        <w:rPr>
          <w:rFonts w:asciiTheme="majorBidi" w:hAnsiTheme="majorBidi" w:cstheme="majorBidi"/>
          <w:bCs/>
          <w:sz w:val="24"/>
          <w:szCs w:val="24"/>
        </w:rPr>
      </w:pPr>
      <w:r w:rsidRPr="002C571D">
        <w:rPr>
          <w:rFonts w:asciiTheme="majorBidi" w:hAnsiTheme="majorBidi" w:cstheme="majorBidi"/>
          <w:sz w:val="24"/>
          <w:szCs w:val="24"/>
        </w:rPr>
        <w:t xml:space="preserve">d) obowiązek raportowania transakcji -  </w:t>
      </w:r>
      <w:r w:rsidRPr="002C571D">
        <w:rPr>
          <w:rFonts w:asciiTheme="majorBidi" w:hAnsiTheme="majorBidi" w:cstheme="majorBidi"/>
          <w:bCs/>
          <w:sz w:val="24"/>
          <w:szCs w:val="24"/>
        </w:rPr>
        <w:t>10 %</w:t>
      </w:r>
    </w:p>
    <w:p w14:paraId="745E13F6" w14:textId="77777777" w:rsidR="005D4710" w:rsidRPr="002C571D" w:rsidRDefault="005D4710" w:rsidP="005D4710">
      <w:pPr>
        <w:spacing w:before="120" w:after="0" w:line="240" w:lineRule="auto"/>
        <w:jc w:val="both"/>
        <w:rPr>
          <w:rFonts w:asciiTheme="majorBidi" w:hAnsiTheme="majorBidi" w:cstheme="majorBidi"/>
          <w:bCs/>
          <w:sz w:val="24"/>
          <w:szCs w:val="24"/>
        </w:rPr>
      </w:pPr>
      <w:r w:rsidRPr="002C571D">
        <w:rPr>
          <w:rFonts w:asciiTheme="majorBidi" w:hAnsiTheme="majorBidi" w:cstheme="majorBidi"/>
          <w:sz w:val="24"/>
          <w:szCs w:val="24"/>
        </w:rPr>
        <w:t xml:space="preserve">e) obowiązek raportowania transakcji podejrzanych  -  </w:t>
      </w:r>
      <w:r w:rsidRPr="002C571D">
        <w:rPr>
          <w:rFonts w:asciiTheme="majorBidi" w:hAnsiTheme="majorBidi" w:cstheme="majorBidi"/>
          <w:bCs/>
          <w:sz w:val="24"/>
          <w:szCs w:val="24"/>
        </w:rPr>
        <w:t>10 %</w:t>
      </w:r>
    </w:p>
    <w:p w14:paraId="5830AEB0" w14:textId="77777777" w:rsidR="005D4710" w:rsidRPr="00DA7A9A" w:rsidRDefault="005D4710" w:rsidP="005D4710">
      <w:pPr>
        <w:spacing w:before="120" w:after="0" w:line="24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2C571D">
        <w:rPr>
          <w:rFonts w:asciiTheme="majorBidi" w:hAnsiTheme="majorBidi" w:cstheme="majorBidi"/>
          <w:color w:val="000000"/>
          <w:sz w:val="24"/>
          <w:szCs w:val="24"/>
        </w:rPr>
        <w:t xml:space="preserve">f) systematyczne uczestnictwo w szkoleniach przez notariusza i pracowników </w:t>
      </w:r>
      <w:r w:rsidRPr="002C571D">
        <w:rPr>
          <w:rFonts w:asciiTheme="majorBidi" w:hAnsiTheme="majorBidi" w:cstheme="majorBidi"/>
          <w:sz w:val="24"/>
          <w:szCs w:val="24"/>
        </w:rPr>
        <w:t xml:space="preserve">-  </w:t>
      </w:r>
      <w:r w:rsidRPr="002C571D">
        <w:rPr>
          <w:rFonts w:asciiTheme="majorBidi" w:hAnsiTheme="majorBidi" w:cstheme="majorBidi"/>
          <w:bCs/>
          <w:sz w:val="24"/>
          <w:szCs w:val="24"/>
        </w:rPr>
        <w:t>10 %</w:t>
      </w:r>
    </w:p>
    <w:p w14:paraId="5EAA8C8C" w14:textId="78C51D4D" w:rsidR="005D4710" w:rsidRPr="00A11805" w:rsidRDefault="005D4710" w:rsidP="005D4710">
      <w:pPr>
        <w:spacing w:before="120" w:after="0" w:line="240" w:lineRule="auto"/>
        <w:jc w:val="both"/>
        <w:rPr>
          <w:rFonts w:asciiTheme="majorBidi" w:hAnsiTheme="majorBidi" w:cstheme="majorBidi"/>
          <w:color w:val="FF0000"/>
          <w:sz w:val="24"/>
          <w:szCs w:val="24"/>
        </w:rPr>
      </w:pPr>
      <w:r w:rsidRPr="00A11805">
        <w:rPr>
          <w:rFonts w:asciiTheme="majorBidi" w:hAnsiTheme="majorBidi" w:cstheme="majorBidi"/>
          <w:color w:val="FF0000"/>
          <w:sz w:val="24"/>
          <w:szCs w:val="24"/>
        </w:rPr>
        <w:t xml:space="preserve">Suma </w:t>
      </w:r>
      <w:proofErr w:type="spellStart"/>
      <w:r>
        <w:rPr>
          <w:rFonts w:asciiTheme="majorBidi" w:hAnsiTheme="majorBidi" w:cstheme="majorBidi"/>
          <w:color w:val="FF0000"/>
          <w:sz w:val="24"/>
          <w:szCs w:val="24"/>
        </w:rPr>
        <w:t>mitygantów</w:t>
      </w:r>
      <w:proofErr w:type="spellEnd"/>
      <w:r>
        <w:rPr>
          <w:rFonts w:asciiTheme="majorBidi" w:hAnsiTheme="majorBidi" w:cstheme="majorBidi"/>
          <w:color w:val="FF0000"/>
          <w:sz w:val="24"/>
          <w:szCs w:val="24"/>
        </w:rPr>
        <w:t xml:space="preserve"> (</w:t>
      </w:r>
      <w:r w:rsidRPr="00A11805">
        <w:rPr>
          <w:rFonts w:asciiTheme="majorBidi" w:hAnsiTheme="majorBidi" w:cstheme="majorBidi"/>
          <w:color w:val="FF0000"/>
          <w:sz w:val="24"/>
          <w:szCs w:val="24"/>
        </w:rPr>
        <w:t>czynników kontroli</w:t>
      </w:r>
      <w:r>
        <w:rPr>
          <w:rFonts w:asciiTheme="majorBidi" w:hAnsiTheme="majorBidi" w:cstheme="majorBidi"/>
          <w:color w:val="FF0000"/>
          <w:sz w:val="24"/>
          <w:szCs w:val="24"/>
        </w:rPr>
        <w:t>)</w:t>
      </w:r>
      <w:r w:rsidRPr="00A11805">
        <w:rPr>
          <w:rFonts w:asciiTheme="majorBidi" w:hAnsiTheme="majorBidi" w:cstheme="majorBidi"/>
          <w:color w:val="FF0000"/>
          <w:sz w:val="24"/>
          <w:szCs w:val="24"/>
        </w:rPr>
        <w:t xml:space="preserve"> to suma wag </w:t>
      </w:r>
      <w:proofErr w:type="spellStart"/>
      <w:r>
        <w:rPr>
          <w:rFonts w:asciiTheme="majorBidi" w:hAnsiTheme="majorBidi" w:cstheme="majorBidi"/>
          <w:color w:val="FF0000"/>
          <w:sz w:val="24"/>
          <w:szCs w:val="24"/>
        </w:rPr>
        <w:t>mitygantów</w:t>
      </w:r>
      <w:proofErr w:type="spellEnd"/>
      <w:r w:rsidRPr="00A11805">
        <w:rPr>
          <w:rFonts w:asciiTheme="majorBidi" w:hAnsiTheme="majorBidi" w:cstheme="majorBidi"/>
          <w:color w:val="FF0000"/>
          <w:sz w:val="24"/>
          <w:szCs w:val="24"/>
        </w:rPr>
        <w:t xml:space="preserve"> występujących w działalności notariusza. Suma ta wyniosła </w:t>
      </w:r>
      <w:r w:rsidR="00771254">
        <w:rPr>
          <w:rFonts w:asciiTheme="majorBidi" w:hAnsiTheme="majorBidi" w:cstheme="majorBidi"/>
          <w:color w:val="FF0000"/>
          <w:sz w:val="24"/>
        </w:rPr>
        <w:t>&lt;O</w:t>
      </w:r>
      <w:r w:rsidR="00651CAF">
        <w:rPr>
          <w:rFonts w:asciiTheme="majorBidi" w:hAnsiTheme="majorBidi" w:cstheme="majorBidi"/>
          <w:color w:val="FF0000"/>
          <w:sz w:val="24"/>
        </w:rPr>
        <w:t>;</w:t>
      </w:r>
      <w:r w:rsidR="00771254">
        <w:rPr>
          <w:rFonts w:asciiTheme="majorBidi" w:hAnsiTheme="majorBidi" w:cstheme="majorBidi"/>
          <w:color w:val="FF0000"/>
          <w:sz w:val="24"/>
        </w:rPr>
        <w:t>ZestAnkieta</w:t>
      </w:r>
      <w:r w:rsidR="00F82C6E">
        <w:rPr>
          <w:rFonts w:asciiTheme="majorBidi" w:hAnsiTheme="majorBidi" w:cstheme="majorBidi"/>
          <w:color w:val="FF0000"/>
          <w:sz w:val="24"/>
        </w:rPr>
        <w:t>1</w:t>
      </w:r>
      <w:r w:rsidR="00771254">
        <w:rPr>
          <w:rFonts w:asciiTheme="majorBidi" w:hAnsiTheme="majorBidi" w:cstheme="majorBidi"/>
          <w:color w:val="FF0000"/>
          <w:sz w:val="24"/>
        </w:rPr>
        <w:t>.SumaMitygantowS&gt;</w:t>
      </w:r>
    </w:p>
    <w:p w14:paraId="4FDEC54E" w14:textId="77777777" w:rsidR="005D4710" w:rsidRDefault="005D4710" w:rsidP="008A562F">
      <w:pPr>
        <w:spacing w:before="120" w:after="0" w:line="240" w:lineRule="auto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III. </w:t>
      </w:r>
      <w:r w:rsidRPr="005D4710">
        <w:rPr>
          <w:rFonts w:asciiTheme="majorBidi" w:hAnsiTheme="majorBidi" w:cstheme="majorBidi"/>
          <w:b/>
          <w:bCs/>
          <w:color w:val="000000"/>
          <w:sz w:val="24"/>
          <w:szCs w:val="24"/>
        </w:rPr>
        <w:t>Ryzyko</w:t>
      </w:r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rezydualne</w:t>
      </w:r>
    </w:p>
    <w:p w14:paraId="5F9CBB79" w14:textId="7862722B" w:rsidR="00962013" w:rsidRPr="00962013" w:rsidRDefault="00962013" w:rsidP="00962013">
      <w:pPr>
        <w:rPr>
          <w:rFonts w:asciiTheme="majorBidi" w:hAnsiTheme="majorBidi" w:cstheme="majorBidi"/>
          <w:color w:val="000000"/>
          <w:sz w:val="24"/>
          <w:szCs w:val="24"/>
        </w:rPr>
      </w:pPr>
      <w:r w:rsidRPr="00927FA1">
        <w:rPr>
          <w:rFonts w:asciiTheme="majorBidi" w:hAnsiTheme="majorBidi" w:cstheme="majorBidi"/>
          <w:color w:val="000000"/>
          <w:sz w:val="24"/>
          <w:szCs w:val="24"/>
        </w:rPr>
        <w:t xml:space="preserve">Ryzyko rezydualne zostało ustalone zgodnie z poniższą tabelą poprzez zestawienie ryzyka standardowego i sumy </w:t>
      </w:r>
      <w:proofErr w:type="spellStart"/>
      <w:r w:rsidRPr="00927FA1">
        <w:rPr>
          <w:rFonts w:asciiTheme="majorBidi" w:hAnsiTheme="majorBidi" w:cstheme="majorBidi"/>
          <w:color w:val="000000"/>
          <w:sz w:val="24"/>
          <w:szCs w:val="24"/>
        </w:rPr>
        <w:t>mitygantów</w:t>
      </w:r>
      <w:proofErr w:type="spellEnd"/>
      <w:r w:rsidRPr="00927FA1">
        <w:rPr>
          <w:rFonts w:asciiTheme="majorBidi" w:hAnsiTheme="majorBidi" w:cstheme="majorBidi"/>
          <w:color w:val="000000"/>
          <w:sz w:val="24"/>
          <w:szCs w:val="24"/>
        </w:rPr>
        <w:t>.</w:t>
      </w:r>
    </w:p>
    <w:p w14:paraId="278C0ADC" w14:textId="77777777" w:rsidR="0087355D" w:rsidRPr="00AF344B" w:rsidRDefault="0087355D" w:rsidP="0087355D">
      <w:pPr>
        <w:autoSpaceDE w:val="0"/>
        <w:autoSpaceDN w:val="0"/>
        <w:adjustRightInd w:val="0"/>
        <w:spacing w:before="120" w:after="0" w:line="240" w:lineRule="auto"/>
        <w:jc w:val="both"/>
        <w:rPr>
          <w:rFonts w:asciiTheme="majorBidi" w:hAnsiTheme="majorBidi" w:cstheme="majorBidi"/>
          <w:b/>
          <w:bCs/>
          <w:color w:val="000000"/>
          <w:sz w:val="24"/>
          <w:szCs w:val="24"/>
          <w:u w:val="single"/>
        </w:rPr>
      </w:pPr>
      <w:r w:rsidRPr="00AF344B">
        <w:rPr>
          <w:rFonts w:asciiTheme="majorBidi" w:hAnsiTheme="majorBidi" w:cstheme="majorBidi"/>
          <w:b/>
          <w:bCs/>
          <w:color w:val="000000"/>
          <w:sz w:val="24"/>
          <w:szCs w:val="24"/>
          <w:u w:val="single"/>
        </w:rPr>
        <w:t>TABELA OBLICZENIA RYZYKA REZYDUALNEGO</w:t>
      </w:r>
    </w:p>
    <w:tbl>
      <w:tblPr>
        <w:tblW w:w="9781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2660"/>
        <w:gridCol w:w="3827"/>
        <w:gridCol w:w="3294"/>
      </w:tblGrid>
      <w:tr w:rsidR="005D4710" w:rsidRPr="00DA7A9A" w14:paraId="2ACCDE24" w14:textId="77777777" w:rsidTr="00FF30D8">
        <w:trPr>
          <w:trHeight w:val="843"/>
        </w:trPr>
        <w:tc>
          <w:tcPr>
            <w:tcW w:w="2660" w:type="dxa"/>
          </w:tcPr>
          <w:p w14:paraId="3E523059" w14:textId="77777777" w:rsidR="005D4710" w:rsidRPr="00DA7A9A" w:rsidRDefault="005D4710" w:rsidP="00FF30D8">
            <w:pPr>
              <w:spacing w:before="120"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lastRenderedPageBreak/>
              <w:t>Ryzyko s</w:t>
            </w:r>
            <w:r w:rsidRPr="00DA7A9A">
              <w:rPr>
                <w:rFonts w:asciiTheme="majorBidi" w:hAnsiTheme="majorBidi" w:cstheme="majorBidi"/>
                <w:sz w:val="24"/>
                <w:szCs w:val="24"/>
              </w:rPr>
              <w:t xml:space="preserve">tandardowe </w:t>
            </w:r>
          </w:p>
        </w:tc>
        <w:tc>
          <w:tcPr>
            <w:tcW w:w="3827" w:type="dxa"/>
          </w:tcPr>
          <w:p w14:paraId="7215AEDB" w14:textId="77777777" w:rsidR="005D4710" w:rsidRPr="00DA7A9A" w:rsidRDefault="005D4710" w:rsidP="00FF30D8">
            <w:pPr>
              <w:spacing w:before="120"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DA7A9A">
              <w:rPr>
                <w:rFonts w:asciiTheme="majorBidi" w:hAnsiTheme="majorBidi" w:cstheme="majorBidi"/>
                <w:sz w:val="24"/>
                <w:szCs w:val="24"/>
              </w:rPr>
              <w:t xml:space="preserve">Suma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mitygantów</w:t>
            </w:r>
            <w:proofErr w:type="spellEnd"/>
          </w:p>
        </w:tc>
        <w:tc>
          <w:tcPr>
            <w:tcW w:w="3294" w:type="dxa"/>
          </w:tcPr>
          <w:p w14:paraId="44E1F04F" w14:textId="77777777" w:rsidR="005D4710" w:rsidRPr="00DA7A9A" w:rsidRDefault="005D4710" w:rsidP="00FF30D8">
            <w:pPr>
              <w:spacing w:before="120"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DA7A9A">
              <w:rPr>
                <w:rFonts w:asciiTheme="majorBidi" w:hAnsiTheme="majorBidi" w:cstheme="majorBidi"/>
                <w:sz w:val="24"/>
                <w:szCs w:val="24"/>
              </w:rPr>
              <w:t xml:space="preserve">Ryzyko rezydualne </w:t>
            </w:r>
          </w:p>
        </w:tc>
      </w:tr>
      <w:tr w:rsidR="005D4710" w:rsidRPr="009975D3" w14:paraId="7214398D" w14:textId="77777777" w:rsidTr="00FF30D8">
        <w:trPr>
          <w:trHeight w:val="226"/>
        </w:trPr>
        <w:tc>
          <w:tcPr>
            <w:tcW w:w="2660" w:type="dxa"/>
            <w:vMerge w:val="restart"/>
          </w:tcPr>
          <w:p w14:paraId="1072E3F2" w14:textId="77777777" w:rsidR="005D4710" w:rsidRPr="002C571D" w:rsidRDefault="005C429C" w:rsidP="003C0869">
            <w:pPr>
              <w:spacing w:before="120"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2C571D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5D4710" w:rsidRPr="002C571D">
              <w:rPr>
                <w:rFonts w:asciiTheme="majorBidi" w:hAnsiTheme="majorBidi" w:cstheme="majorBidi"/>
                <w:sz w:val="24"/>
                <w:szCs w:val="24"/>
              </w:rPr>
              <w:t>–</w:t>
            </w:r>
            <w:r w:rsidRPr="002C571D">
              <w:rPr>
                <w:rFonts w:asciiTheme="majorBidi" w:hAnsiTheme="majorBidi" w:cstheme="majorBidi"/>
                <w:sz w:val="24"/>
                <w:szCs w:val="24"/>
              </w:rPr>
              <w:t>0,</w:t>
            </w:r>
            <w:r w:rsidR="003C0869" w:rsidRPr="002C571D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5D4710" w:rsidRPr="002C571D">
              <w:rPr>
                <w:rFonts w:asciiTheme="majorBidi" w:hAnsiTheme="majorBidi" w:cstheme="majorBidi"/>
                <w:sz w:val="24"/>
                <w:szCs w:val="24"/>
              </w:rPr>
              <w:t xml:space="preserve"> (niskie)</w:t>
            </w:r>
          </w:p>
        </w:tc>
        <w:tc>
          <w:tcPr>
            <w:tcW w:w="3827" w:type="dxa"/>
          </w:tcPr>
          <w:p w14:paraId="229F7EBA" w14:textId="77777777" w:rsidR="005D4710" w:rsidRPr="00DA7A9A" w:rsidRDefault="005D4710" w:rsidP="00FF30D8">
            <w:pPr>
              <w:spacing w:before="120"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DA7A9A">
              <w:rPr>
                <w:rFonts w:asciiTheme="majorBidi" w:hAnsiTheme="majorBidi" w:cstheme="majorBidi"/>
                <w:sz w:val="24"/>
                <w:szCs w:val="24"/>
              </w:rPr>
              <w:t xml:space="preserve">90–100% </w:t>
            </w:r>
          </w:p>
        </w:tc>
        <w:tc>
          <w:tcPr>
            <w:tcW w:w="3294" w:type="dxa"/>
          </w:tcPr>
          <w:p w14:paraId="5BCD67CE" w14:textId="77777777" w:rsidR="005D4710" w:rsidRPr="009975D3" w:rsidRDefault="005D4710" w:rsidP="00FF30D8">
            <w:pPr>
              <w:spacing w:before="120"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9975D3">
              <w:rPr>
                <w:rFonts w:asciiTheme="majorBidi" w:hAnsiTheme="majorBidi" w:cstheme="majorBidi"/>
                <w:sz w:val="24"/>
                <w:szCs w:val="24"/>
              </w:rPr>
              <w:t>Niskie</w:t>
            </w:r>
          </w:p>
        </w:tc>
      </w:tr>
      <w:tr w:rsidR="005D4710" w:rsidRPr="009975D3" w14:paraId="4D428577" w14:textId="77777777" w:rsidTr="00FF30D8">
        <w:trPr>
          <w:trHeight w:val="99"/>
        </w:trPr>
        <w:tc>
          <w:tcPr>
            <w:tcW w:w="2660" w:type="dxa"/>
            <w:vMerge/>
          </w:tcPr>
          <w:p w14:paraId="0CF0CFC3" w14:textId="77777777" w:rsidR="005D4710" w:rsidRPr="002C571D" w:rsidRDefault="005D4710" w:rsidP="00FF30D8">
            <w:pPr>
              <w:spacing w:before="120"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827" w:type="dxa"/>
          </w:tcPr>
          <w:p w14:paraId="0D5F10EF" w14:textId="77777777" w:rsidR="005D4710" w:rsidRPr="00DA7A9A" w:rsidRDefault="005D4710" w:rsidP="00FF30D8">
            <w:pPr>
              <w:spacing w:before="120"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DA7A9A">
              <w:rPr>
                <w:rFonts w:asciiTheme="majorBidi" w:hAnsiTheme="majorBidi" w:cstheme="majorBidi"/>
                <w:sz w:val="24"/>
                <w:szCs w:val="24"/>
              </w:rPr>
              <w:t xml:space="preserve">89–70% </w:t>
            </w:r>
          </w:p>
        </w:tc>
        <w:tc>
          <w:tcPr>
            <w:tcW w:w="3294" w:type="dxa"/>
          </w:tcPr>
          <w:p w14:paraId="131950EE" w14:textId="77777777" w:rsidR="005D4710" w:rsidRPr="009975D3" w:rsidRDefault="005D4710" w:rsidP="00FF30D8">
            <w:pPr>
              <w:spacing w:before="120"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9975D3">
              <w:rPr>
                <w:rFonts w:asciiTheme="majorBidi" w:hAnsiTheme="majorBidi" w:cstheme="majorBidi"/>
                <w:sz w:val="24"/>
                <w:szCs w:val="24"/>
              </w:rPr>
              <w:t>Średnie</w:t>
            </w:r>
          </w:p>
        </w:tc>
      </w:tr>
      <w:tr w:rsidR="005D4710" w:rsidRPr="009975D3" w14:paraId="4513C981" w14:textId="77777777" w:rsidTr="00FF30D8">
        <w:trPr>
          <w:trHeight w:val="99"/>
        </w:trPr>
        <w:tc>
          <w:tcPr>
            <w:tcW w:w="2660" w:type="dxa"/>
            <w:vMerge/>
          </w:tcPr>
          <w:p w14:paraId="0C06F941" w14:textId="77777777" w:rsidR="005D4710" w:rsidRPr="002C571D" w:rsidRDefault="005D4710" w:rsidP="00FF30D8">
            <w:pPr>
              <w:spacing w:before="120"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827" w:type="dxa"/>
          </w:tcPr>
          <w:p w14:paraId="0294EFFC" w14:textId="77777777" w:rsidR="005D4710" w:rsidRPr="00DA7A9A" w:rsidRDefault="005D4710" w:rsidP="00FF30D8">
            <w:pPr>
              <w:spacing w:before="120"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DA7A9A">
              <w:rPr>
                <w:rFonts w:asciiTheme="majorBidi" w:hAnsiTheme="majorBidi" w:cstheme="majorBidi"/>
                <w:sz w:val="24"/>
                <w:szCs w:val="24"/>
              </w:rPr>
              <w:t xml:space="preserve">&lt;70% </w:t>
            </w:r>
          </w:p>
        </w:tc>
        <w:tc>
          <w:tcPr>
            <w:tcW w:w="3294" w:type="dxa"/>
          </w:tcPr>
          <w:p w14:paraId="26C740F5" w14:textId="77777777" w:rsidR="005D4710" w:rsidRPr="009975D3" w:rsidRDefault="005D4710" w:rsidP="00FF30D8">
            <w:pPr>
              <w:spacing w:before="120"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9975D3">
              <w:rPr>
                <w:rFonts w:asciiTheme="majorBidi" w:hAnsiTheme="majorBidi" w:cstheme="majorBidi"/>
                <w:sz w:val="24"/>
                <w:szCs w:val="24"/>
              </w:rPr>
              <w:t>Wysokie</w:t>
            </w:r>
          </w:p>
        </w:tc>
      </w:tr>
      <w:tr w:rsidR="005D4710" w:rsidRPr="009975D3" w14:paraId="307A7321" w14:textId="77777777" w:rsidTr="00FF30D8">
        <w:trPr>
          <w:trHeight w:val="226"/>
        </w:trPr>
        <w:tc>
          <w:tcPr>
            <w:tcW w:w="2660" w:type="dxa"/>
            <w:vMerge w:val="restart"/>
          </w:tcPr>
          <w:p w14:paraId="232623D2" w14:textId="77777777" w:rsidR="005D4710" w:rsidRPr="002C571D" w:rsidRDefault="005D4710" w:rsidP="003C0869">
            <w:pPr>
              <w:spacing w:before="120"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2C571D">
              <w:rPr>
                <w:rFonts w:asciiTheme="majorBidi" w:hAnsiTheme="majorBidi" w:cstheme="majorBidi"/>
                <w:sz w:val="24"/>
                <w:szCs w:val="24"/>
              </w:rPr>
              <w:t>&gt;</w:t>
            </w:r>
            <w:r w:rsidR="005C429C" w:rsidRPr="002C571D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Pr="002C571D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3C0869" w:rsidRPr="002C571D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Pr="002C571D">
              <w:rPr>
                <w:rFonts w:asciiTheme="majorBidi" w:hAnsiTheme="majorBidi" w:cstheme="majorBidi"/>
                <w:sz w:val="24"/>
                <w:szCs w:val="24"/>
              </w:rPr>
              <w:t>–</w:t>
            </w:r>
            <w:r w:rsidR="005C429C" w:rsidRPr="002C571D">
              <w:rPr>
                <w:rFonts w:asciiTheme="majorBidi" w:hAnsiTheme="majorBidi" w:cstheme="majorBidi"/>
                <w:sz w:val="24"/>
                <w:szCs w:val="24"/>
              </w:rPr>
              <w:t>0,7</w:t>
            </w:r>
            <w:r w:rsidR="003C0869" w:rsidRPr="002C571D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Pr="002C571D">
              <w:rPr>
                <w:rFonts w:asciiTheme="majorBidi" w:hAnsiTheme="majorBidi" w:cstheme="majorBidi"/>
                <w:sz w:val="24"/>
                <w:szCs w:val="24"/>
              </w:rPr>
              <w:t xml:space="preserve"> (średnie)</w:t>
            </w:r>
          </w:p>
        </w:tc>
        <w:tc>
          <w:tcPr>
            <w:tcW w:w="3827" w:type="dxa"/>
          </w:tcPr>
          <w:p w14:paraId="0938ED7C" w14:textId="77777777" w:rsidR="005D4710" w:rsidRPr="00DA7A9A" w:rsidRDefault="005D4710" w:rsidP="00FF30D8">
            <w:pPr>
              <w:spacing w:before="120"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DA7A9A">
              <w:rPr>
                <w:rFonts w:asciiTheme="majorBidi" w:hAnsiTheme="majorBidi" w:cstheme="majorBidi"/>
                <w:sz w:val="24"/>
                <w:szCs w:val="24"/>
              </w:rPr>
              <w:t xml:space="preserve">90–100% </w:t>
            </w:r>
          </w:p>
        </w:tc>
        <w:tc>
          <w:tcPr>
            <w:tcW w:w="3294" w:type="dxa"/>
          </w:tcPr>
          <w:p w14:paraId="67FB5861" w14:textId="77777777" w:rsidR="005D4710" w:rsidRPr="009975D3" w:rsidRDefault="005D4710" w:rsidP="00FF30D8">
            <w:pPr>
              <w:spacing w:before="120"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9975D3">
              <w:rPr>
                <w:rFonts w:asciiTheme="majorBidi" w:hAnsiTheme="majorBidi" w:cstheme="majorBidi"/>
                <w:sz w:val="24"/>
                <w:szCs w:val="24"/>
              </w:rPr>
              <w:t>Niskie</w:t>
            </w:r>
          </w:p>
        </w:tc>
      </w:tr>
      <w:tr w:rsidR="005D4710" w:rsidRPr="009975D3" w14:paraId="0B0BC37A" w14:textId="77777777" w:rsidTr="00FF30D8">
        <w:trPr>
          <w:trHeight w:val="99"/>
        </w:trPr>
        <w:tc>
          <w:tcPr>
            <w:tcW w:w="2660" w:type="dxa"/>
            <w:vMerge/>
          </w:tcPr>
          <w:p w14:paraId="649F966C" w14:textId="77777777" w:rsidR="005D4710" w:rsidRPr="002C571D" w:rsidRDefault="005D4710" w:rsidP="00FF30D8">
            <w:pPr>
              <w:spacing w:before="120"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827" w:type="dxa"/>
          </w:tcPr>
          <w:p w14:paraId="595A9A7B" w14:textId="77777777" w:rsidR="005D4710" w:rsidRPr="00DA7A9A" w:rsidRDefault="005D4710" w:rsidP="00FF30D8">
            <w:pPr>
              <w:spacing w:before="120"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DA7A9A">
              <w:rPr>
                <w:rFonts w:asciiTheme="majorBidi" w:hAnsiTheme="majorBidi" w:cstheme="majorBidi"/>
                <w:sz w:val="24"/>
                <w:szCs w:val="24"/>
              </w:rPr>
              <w:t xml:space="preserve">89–80% </w:t>
            </w:r>
          </w:p>
        </w:tc>
        <w:tc>
          <w:tcPr>
            <w:tcW w:w="3294" w:type="dxa"/>
          </w:tcPr>
          <w:p w14:paraId="03E53415" w14:textId="77777777" w:rsidR="005D4710" w:rsidRPr="009975D3" w:rsidRDefault="005D4710" w:rsidP="00FF30D8">
            <w:pPr>
              <w:spacing w:before="120"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9975D3">
              <w:rPr>
                <w:rFonts w:asciiTheme="majorBidi" w:hAnsiTheme="majorBidi" w:cstheme="majorBidi"/>
                <w:sz w:val="24"/>
                <w:szCs w:val="24"/>
              </w:rPr>
              <w:t xml:space="preserve">Średnie </w:t>
            </w:r>
          </w:p>
        </w:tc>
      </w:tr>
      <w:tr w:rsidR="005D4710" w:rsidRPr="009975D3" w14:paraId="4A47111B" w14:textId="77777777" w:rsidTr="00FF30D8">
        <w:trPr>
          <w:trHeight w:val="99"/>
        </w:trPr>
        <w:tc>
          <w:tcPr>
            <w:tcW w:w="2660" w:type="dxa"/>
            <w:vMerge/>
          </w:tcPr>
          <w:p w14:paraId="5D56DB7C" w14:textId="77777777" w:rsidR="005D4710" w:rsidRPr="002C571D" w:rsidRDefault="005D4710" w:rsidP="00FF30D8">
            <w:pPr>
              <w:spacing w:before="120"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827" w:type="dxa"/>
          </w:tcPr>
          <w:p w14:paraId="682F1EC7" w14:textId="77777777" w:rsidR="005D4710" w:rsidRPr="00DA7A9A" w:rsidRDefault="005D4710" w:rsidP="00FF30D8">
            <w:pPr>
              <w:spacing w:before="120"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DA7A9A">
              <w:rPr>
                <w:rFonts w:asciiTheme="majorBidi" w:hAnsiTheme="majorBidi" w:cstheme="majorBidi"/>
                <w:sz w:val="24"/>
                <w:szCs w:val="24"/>
              </w:rPr>
              <w:t xml:space="preserve">&lt;80% </w:t>
            </w:r>
          </w:p>
        </w:tc>
        <w:tc>
          <w:tcPr>
            <w:tcW w:w="3294" w:type="dxa"/>
          </w:tcPr>
          <w:p w14:paraId="72BCA65C" w14:textId="77777777" w:rsidR="005D4710" w:rsidRPr="009975D3" w:rsidRDefault="005D4710" w:rsidP="00FF30D8">
            <w:pPr>
              <w:spacing w:before="120"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9975D3">
              <w:rPr>
                <w:rFonts w:asciiTheme="majorBidi" w:hAnsiTheme="majorBidi" w:cstheme="majorBidi"/>
                <w:sz w:val="24"/>
                <w:szCs w:val="24"/>
              </w:rPr>
              <w:t>wysokie</w:t>
            </w:r>
          </w:p>
        </w:tc>
      </w:tr>
      <w:tr w:rsidR="005D4710" w:rsidRPr="009975D3" w14:paraId="6236C738" w14:textId="77777777" w:rsidTr="00FF30D8">
        <w:trPr>
          <w:trHeight w:val="230"/>
        </w:trPr>
        <w:tc>
          <w:tcPr>
            <w:tcW w:w="2660" w:type="dxa"/>
            <w:vMerge w:val="restart"/>
          </w:tcPr>
          <w:p w14:paraId="2368120D" w14:textId="77777777" w:rsidR="005D4710" w:rsidRPr="002C571D" w:rsidRDefault="005D4710" w:rsidP="005C429C">
            <w:pPr>
              <w:spacing w:before="120"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2C571D">
              <w:rPr>
                <w:rFonts w:asciiTheme="majorBidi" w:hAnsiTheme="majorBidi" w:cstheme="majorBidi"/>
                <w:sz w:val="24"/>
                <w:szCs w:val="24"/>
              </w:rPr>
              <w:t>&gt;</w:t>
            </w:r>
            <w:r w:rsidR="005C429C" w:rsidRPr="002C571D">
              <w:rPr>
                <w:rFonts w:asciiTheme="majorBidi" w:hAnsiTheme="majorBidi" w:cstheme="majorBidi"/>
                <w:sz w:val="24"/>
                <w:szCs w:val="24"/>
              </w:rPr>
              <w:t>0,7</w:t>
            </w:r>
            <w:r w:rsidR="003C0869" w:rsidRPr="002C571D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="005C429C" w:rsidRPr="002C571D">
              <w:rPr>
                <w:rFonts w:asciiTheme="majorBidi" w:hAnsiTheme="majorBidi" w:cstheme="majorBidi"/>
                <w:sz w:val="24"/>
                <w:szCs w:val="24"/>
              </w:rPr>
              <w:t>-1,0</w:t>
            </w:r>
            <w:r w:rsidRPr="002C571D">
              <w:rPr>
                <w:rFonts w:asciiTheme="majorBidi" w:hAnsiTheme="majorBidi" w:cstheme="majorBidi"/>
                <w:sz w:val="24"/>
                <w:szCs w:val="24"/>
              </w:rPr>
              <w:t xml:space="preserve"> (wysokie)</w:t>
            </w:r>
          </w:p>
        </w:tc>
        <w:tc>
          <w:tcPr>
            <w:tcW w:w="3827" w:type="dxa"/>
          </w:tcPr>
          <w:p w14:paraId="6A893D02" w14:textId="77777777" w:rsidR="005D4710" w:rsidRPr="00DA7A9A" w:rsidRDefault="005D4710" w:rsidP="00FF30D8">
            <w:pPr>
              <w:spacing w:before="120"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DA7A9A">
              <w:rPr>
                <w:rFonts w:asciiTheme="majorBidi" w:hAnsiTheme="majorBidi" w:cstheme="majorBidi"/>
                <w:sz w:val="24"/>
                <w:szCs w:val="24"/>
              </w:rPr>
              <w:t xml:space="preserve">100–85% </w:t>
            </w:r>
          </w:p>
        </w:tc>
        <w:tc>
          <w:tcPr>
            <w:tcW w:w="3294" w:type="dxa"/>
          </w:tcPr>
          <w:p w14:paraId="2DF67016" w14:textId="77777777" w:rsidR="005D4710" w:rsidRPr="009975D3" w:rsidRDefault="005D4710" w:rsidP="00FF30D8">
            <w:pPr>
              <w:spacing w:before="120"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9975D3">
              <w:rPr>
                <w:rFonts w:asciiTheme="majorBidi" w:hAnsiTheme="majorBidi" w:cstheme="majorBidi"/>
                <w:sz w:val="24"/>
                <w:szCs w:val="24"/>
              </w:rPr>
              <w:t xml:space="preserve">Średnie </w:t>
            </w:r>
          </w:p>
        </w:tc>
      </w:tr>
      <w:tr w:rsidR="005D4710" w:rsidRPr="009975D3" w14:paraId="6FBD87A3" w14:textId="77777777" w:rsidTr="00FF30D8">
        <w:trPr>
          <w:trHeight w:val="80"/>
        </w:trPr>
        <w:tc>
          <w:tcPr>
            <w:tcW w:w="2660" w:type="dxa"/>
            <w:vMerge/>
          </w:tcPr>
          <w:p w14:paraId="6A859744" w14:textId="77777777" w:rsidR="005D4710" w:rsidRPr="00DA7A9A" w:rsidRDefault="005D4710" w:rsidP="00FF30D8">
            <w:pPr>
              <w:spacing w:before="120"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827" w:type="dxa"/>
          </w:tcPr>
          <w:p w14:paraId="2209096F" w14:textId="77777777" w:rsidR="005D4710" w:rsidRPr="00DA7A9A" w:rsidRDefault="005D4710" w:rsidP="00FF30D8">
            <w:pPr>
              <w:spacing w:before="120"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DA7A9A">
              <w:rPr>
                <w:rFonts w:asciiTheme="majorBidi" w:hAnsiTheme="majorBidi" w:cstheme="majorBidi"/>
                <w:sz w:val="24"/>
                <w:szCs w:val="24"/>
              </w:rPr>
              <w:t xml:space="preserve">&lt;85% </w:t>
            </w:r>
          </w:p>
        </w:tc>
        <w:tc>
          <w:tcPr>
            <w:tcW w:w="3294" w:type="dxa"/>
          </w:tcPr>
          <w:p w14:paraId="4FBBB938" w14:textId="77777777" w:rsidR="005D4710" w:rsidRPr="009975D3" w:rsidRDefault="005D4710" w:rsidP="00FF30D8">
            <w:pPr>
              <w:spacing w:before="120"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9975D3">
              <w:rPr>
                <w:rFonts w:asciiTheme="majorBidi" w:hAnsiTheme="majorBidi" w:cstheme="majorBidi"/>
                <w:sz w:val="24"/>
                <w:szCs w:val="24"/>
              </w:rPr>
              <w:t>wysokie</w:t>
            </w:r>
          </w:p>
        </w:tc>
      </w:tr>
    </w:tbl>
    <w:p w14:paraId="55096070" w14:textId="77777777" w:rsidR="005D4710" w:rsidRDefault="005D4710" w:rsidP="00D0574F">
      <w:pPr>
        <w:rPr>
          <w:rFonts w:asciiTheme="majorBidi" w:hAnsiTheme="majorBidi" w:cstheme="majorBidi"/>
          <w:sz w:val="24"/>
          <w:szCs w:val="24"/>
        </w:rPr>
      </w:pPr>
    </w:p>
    <w:p w14:paraId="63C59C00" w14:textId="776B08F7" w:rsidR="005C429C" w:rsidRPr="00A11805" w:rsidRDefault="005C429C" w:rsidP="005C429C">
      <w:pPr>
        <w:pStyle w:val="Nagwek3"/>
        <w:spacing w:before="120"/>
        <w:jc w:val="both"/>
        <w:rPr>
          <w:rFonts w:asciiTheme="majorBidi" w:hAnsiTheme="majorBidi" w:cstheme="majorBidi"/>
          <w:color w:val="FF0000"/>
          <w:sz w:val="24"/>
        </w:rPr>
      </w:pPr>
      <w:r w:rsidRPr="00A11805">
        <w:rPr>
          <w:rFonts w:asciiTheme="majorBidi" w:hAnsiTheme="majorBidi" w:cstheme="majorBidi"/>
          <w:color w:val="FF0000"/>
          <w:sz w:val="24"/>
        </w:rPr>
        <w:t xml:space="preserve">Wartość </w:t>
      </w:r>
      <w:r w:rsidR="00824594">
        <w:rPr>
          <w:rFonts w:asciiTheme="majorBidi" w:hAnsiTheme="majorBidi" w:cstheme="majorBidi"/>
          <w:color w:val="FF0000"/>
          <w:sz w:val="24"/>
        </w:rPr>
        <w:t>(</w:t>
      </w:r>
      <w:r w:rsidR="00824594" w:rsidRPr="00824594">
        <w:rPr>
          <w:rFonts w:asciiTheme="majorBidi" w:hAnsiTheme="majorBidi" w:cstheme="majorBidi"/>
          <w:i/>
          <w:iCs/>
          <w:color w:val="FF0000"/>
          <w:sz w:val="24"/>
        </w:rPr>
        <w:t>poziom</w:t>
      </w:r>
      <w:r w:rsidR="00824594">
        <w:rPr>
          <w:rFonts w:asciiTheme="majorBidi" w:hAnsiTheme="majorBidi" w:cstheme="majorBidi"/>
          <w:color w:val="FF0000"/>
          <w:sz w:val="24"/>
        </w:rPr>
        <w:t xml:space="preserve">) </w:t>
      </w:r>
      <w:r w:rsidRPr="00A11805">
        <w:rPr>
          <w:rFonts w:asciiTheme="majorBidi" w:hAnsiTheme="majorBidi" w:cstheme="majorBidi"/>
          <w:color w:val="FF0000"/>
          <w:sz w:val="24"/>
        </w:rPr>
        <w:t xml:space="preserve">ryzyka </w:t>
      </w:r>
      <w:r w:rsidRPr="0087355D">
        <w:rPr>
          <w:rFonts w:asciiTheme="majorBidi" w:eastAsiaTheme="minorHAnsi" w:hAnsiTheme="majorBidi" w:cstheme="majorBidi"/>
          <w:color w:val="FF0000"/>
          <w:sz w:val="24"/>
        </w:rPr>
        <w:t xml:space="preserve">rezydualnego </w:t>
      </w:r>
      <w:r w:rsidRPr="00A11805">
        <w:rPr>
          <w:rFonts w:asciiTheme="majorBidi" w:hAnsiTheme="majorBidi" w:cstheme="majorBidi"/>
          <w:color w:val="FF0000"/>
          <w:sz w:val="24"/>
        </w:rPr>
        <w:t xml:space="preserve">notariusza wynosi ..................... – ryzyko </w:t>
      </w:r>
      <w:r w:rsidR="009E6568">
        <w:rPr>
          <w:rFonts w:asciiTheme="majorBidi" w:hAnsiTheme="majorBidi" w:cstheme="majorBidi"/>
          <w:color w:val="FF0000"/>
          <w:sz w:val="24"/>
        </w:rPr>
        <w:t>&lt;O</w:t>
      </w:r>
      <w:r w:rsidR="004524A1">
        <w:rPr>
          <w:rFonts w:asciiTheme="majorBidi" w:hAnsiTheme="majorBidi" w:cstheme="majorBidi"/>
          <w:color w:val="FF0000"/>
          <w:sz w:val="24"/>
        </w:rPr>
        <w:t>;</w:t>
      </w:r>
      <w:r w:rsidR="009E6568">
        <w:rPr>
          <w:rFonts w:asciiTheme="majorBidi" w:hAnsiTheme="majorBidi" w:cstheme="majorBidi"/>
          <w:color w:val="FF0000"/>
          <w:sz w:val="24"/>
        </w:rPr>
        <w:t>ZestAnkieta</w:t>
      </w:r>
      <w:r w:rsidR="00F82C6E">
        <w:rPr>
          <w:rFonts w:asciiTheme="majorBidi" w:hAnsiTheme="majorBidi" w:cstheme="majorBidi"/>
          <w:color w:val="FF0000"/>
          <w:sz w:val="24"/>
        </w:rPr>
        <w:t>1</w:t>
      </w:r>
      <w:r w:rsidR="009E6568">
        <w:rPr>
          <w:rFonts w:asciiTheme="majorBidi" w:hAnsiTheme="majorBidi" w:cstheme="majorBidi"/>
          <w:color w:val="FF0000"/>
          <w:sz w:val="24"/>
        </w:rPr>
        <w:t>.RyzykoRezydualne&gt;</w:t>
      </w:r>
      <w:r w:rsidRPr="009975D3">
        <w:rPr>
          <w:rFonts w:asciiTheme="majorBidi" w:hAnsiTheme="majorBidi" w:cstheme="majorBidi"/>
          <w:i/>
          <w:iCs/>
          <w:color w:val="FF0000"/>
          <w:sz w:val="24"/>
        </w:rPr>
        <w:t xml:space="preserve"> (niskie / średnie / wysokie)</w:t>
      </w:r>
    </w:p>
    <w:p w14:paraId="2EFE9ABF" w14:textId="77777777" w:rsidR="005C429C" w:rsidRDefault="005C429C" w:rsidP="005C429C">
      <w:pPr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3C0869">
        <w:rPr>
          <w:rFonts w:asciiTheme="majorBidi" w:hAnsiTheme="majorBidi" w:cstheme="majorBidi"/>
          <w:b/>
          <w:bCs/>
          <w:sz w:val="24"/>
          <w:szCs w:val="24"/>
          <w:u w:val="single"/>
        </w:rPr>
        <w:t>Określone wyżej ryzyko to ryzyko rezydualne prania pieniędzy oraz finansowania terroryzmu odnoszące się do działalności notariusza dokonującego oceny.</w:t>
      </w:r>
    </w:p>
    <w:p w14:paraId="788356B1" w14:textId="49684F13" w:rsidR="007F1D37" w:rsidRPr="009975D3" w:rsidRDefault="007F1D37" w:rsidP="00035A53">
      <w:pPr>
        <w:pStyle w:val="Nagwek1"/>
        <w:spacing w:before="120" w:line="240" w:lineRule="auto"/>
        <w:rPr>
          <w:rFonts w:asciiTheme="majorBidi" w:hAnsiTheme="majorBidi"/>
          <w:b/>
          <w:bCs/>
          <w:color w:val="FF0000"/>
          <w:sz w:val="24"/>
          <w:szCs w:val="24"/>
        </w:rPr>
      </w:pPr>
      <w:bookmarkStart w:id="2" w:name="_Toc528961036"/>
      <w:r w:rsidRPr="009975D3">
        <w:rPr>
          <w:rFonts w:asciiTheme="majorBidi" w:hAnsiTheme="majorBidi"/>
          <w:bCs/>
          <w:color w:val="FF0000"/>
          <w:sz w:val="24"/>
          <w:szCs w:val="24"/>
        </w:rPr>
        <w:t>Wnioski wynikające z oceny ryzyka prania pieniędzy oraz finansowania terroryzmu</w:t>
      </w:r>
      <w:r w:rsidR="008A562F">
        <w:rPr>
          <w:rFonts w:asciiTheme="majorBidi" w:hAnsiTheme="majorBidi"/>
          <w:bCs/>
          <w:color w:val="FF0000"/>
          <w:sz w:val="24"/>
          <w:szCs w:val="24"/>
        </w:rPr>
        <w:t xml:space="preserve"> instytucji obowiązanej</w:t>
      </w:r>
      <w:bookmarkEnd w:id="2"/>
      <w:r w:rsidR="00035A53">
        <w:rPr>
          <w:rFonts w:asciiTheme="majorBidi" w:hAnsiTheme="majorBidi"/>
          <w:bCs/>
          <w:color w:val="FF0000"/>
          <w:sz w:val="24"/>
          <w:szCs w:val="24"/>
        </w:rPr>
        <w:t>:</w:t>
      </w:r>
    </w:p>
    <w:p w14:paraId="41AE6C56" w14:textId="77777777" w:rsidR="00035A53" w:rsidRDefault="007F1D37" w:rsidP="007F1D37">
      <w:pPr>
        <w:spacing w:before="120" w:after="0" w:line="240" w:lineRule="auto"/>
        <w:jc w:val="both"/>
        <w:rPr>
          <w:rFonts w:asciiTheme="majorBidi" w:hAnsiTheme="majorBidi" w:cstheme="majorBidi"/>
          <w:i/>
          <w:color w:val="FF0000"/>
          <w:sz w:val="24"/>
          <w:szCs w:val="24"/>
        </w:rPr>
      </w:pPr>
      <w:r w:rsidRPr="009975D3">
        <w:rPr>
          <w:rFonts w:asciiTheme="majorBidi" w:hAnsiTheme="majorBidi" w:cstheme="majorBidi"/>
          <w:color w:val="FF0000"/>
          <w:sz w:val="24"/>
          <w:szCs w:val="24"/>
        </w:rPr>
        <w:t>(</w:t>
      </w:r>
      <w:r w:rsidRPr="009975D3">
        <w:rPr>
          <w:rFonts w:asciiTheme="majorBidi" w:hAnsiTheme="majorBidi" w:cstheme="majorBidi"/>
          <w:i/>
          <w:color w:val="FF0000"/>
          <w:sz w:val="24"/>
          <w:szCs w:val="24"/>
        </w:rPr>
        <w:t xml:space="preserve">zależy od przebiegu i wyników przeprowadzonej oceny ryzyka. </w:t>
      </w:r>
    </w:p>
    <w:p w14:paraId="61A1C52D" w14:textId="5B7EF050" w:rsidR="007F1D37" w:rsidRDefault="007F1D37" w:rsidP="007F1D37">
      <w:pPr>
        <w:spacing w:before="120" w:after="0" w:line="240" w:lineRule="auto"/>
        <w:jc w:val="both"/>
        <w:rPr>
          <w:rFonts w:asciiTheme="majorBidi" w:hAnsiTheme="majorBidi" w:cstheme="majorBidi"/>
          <w:i/>
          <w:color w:val="FF0000"/>
          <w:sz w:val="24"/>
          <w:szCs w:val="24"/>
        </w:rPr>
      </w:pPr>
      <w:r>
        <w:rPr>
          <w:rFonts w:asciiTheme="majorBidi" w:hAnsiTheme="majorBidi" w:cstheme="majorBidi"/>
          <w:i/>
          <w:color w:val="FF0000"/>
          <w:sz w:val="24"/>
          <w:szCs w:val="24"/>
        </w:rPr>
        <w:t xml:space="preserve">Trzeba </w:t>
      </w:r>
      <w:r w:rsidRPr="009975D3">
        <w:rPr>
          <w:rFonts w:asciiTheme="majorBidi" w:hAnsiTheme="majorBidi" w:cstheme="majorBidi"/>
          <w:i/>
          <w:color w:val="FF0000"/>
          <w:sz w:val="24"/>
          <w:szCs w:val="24"/>
        </w:rPr>
        <w:t>opisać:</w:t>
      </w:r>
    </w:p>
    <w:p w14:paraId="35FBB4E2" w14:textId="015BF43E" w:rsidR="00E74283" w:rsidRPr="009975D3" w:rsidRDefault="00E74283" w:rsidP="00E74283">
      <w:pPr>
        <w:spacing w:before="120" w:after="0" w:line="240" w:lineRule="auto"/>
        <w:jc w:val="both"/>
        <w:rPr>
          <w:rFonts w:asciiTheme="majorBidi" w:hAnsiTheme="majorBidi" w:cstheme="majorBidi"/>
          <w:i/>
          <w:color w:val="FF0000"/>
          <w:sz w:val="24"/>
          <w:szCs w:val="24"/>
        </w:rPr>
      </w:pPr>
      <w:r w:rsidRPr="00CA2D44">
        <w:rPr>
          <w:rFonts w:asciiTheme="majorBidi" w:hAnsiTheme="majorBidi" w:cstheme="majorBidi"/>
          <w:i/>
          <w:color w:val="FF0000"/>
          <w:sz w:val="24"/>
          <w:szCs w:val="24"/>
          <w:highlight w:val="green"/>
        </w:rPr>
        <w:t>- ilość transakcji zaraportowanych do</w:t>
      </w:r>
      <w:r w:rsidR="005B623A" w:rsidRPr="00CA2D44">
        <w:rPr>
          <w:rFonts w:asciiTheme="majorBidi" w:hAnsiTheme="majorBidi" w:cstheme="majorBidi"/>
          <w:i/>
          <w:color w:val="FF0000"/>
          <w:sz w:val="24"/>
          <w:szCs w:val="24"/>
          <w:highlight w:val="green"/>
        </w:rPr>
        <w:t xml:space="preserve"> GIIF </w:t>
      </w:r>
      <w:r w:rsidRPr="00CA2D44">
        <w:rPr>
          <w:rFonts w:asciiTheme="majorBidi" w:hAnsiTheme="majorBidi" w:cstheme="majorBidi"/>
          <w:i/>
          <w:color w:val="FF0000"/>
          <w:sz w:val="24"/>
          <w:szCs w:val="24"/>
          <w:highlight w:val="green"/>
        </w:rPr>
        <w:t xml:space="preserve">w danym okresie </w:t>
      </w:r>
      <w:r w:rsidR="00CA2D44" w:rsidRPr="00CA2D44">
        <w:rPr>
          <w:rFonts w:asciiTheme="majorBidi" w:hAnsiTheme="majorBidi" w:cstheme="majorBidi"/>
          <w:i/>
          <w:color w:val="FF0000"/>
          <w:sz w:val="24"/>
          <w:szCs w:val="24"/>
          <w:highlight w:val="green"/>
        </w:rPr>
        <w:t>sprawozdawczym</w:t>
      </w:r>
      <w:r w:rsidRPr="00CA2D44">
        <w:rPr>
          <w:rFonts w:asciiTheme="majorBidi" w:hAnsiTheme="majorBidi" w:cstheme="majorBidi"/>
          <w:i/>
          <w:color w:val="FF0000"/>
          <w:sz w:val="24"/>
          <w:szCs w:val="24"/>
          <w:highlight w:val="green"/>
        </w:rPr>
        <w:t>,</w:t>
      </w:r>
    </w:p>
    <w:p w14:paraId="16163960" w14:textId="77777777" w:rsidR="007F1D37" w:rsidRPr="009975D3" w:rsidRDefault="007F1D37" w:rsidP="007F1D37">
      <w:pPr>
        <w:spacing w:before="120" w:after="0" w:line="240" w:lineRule="auto"/>
        <w:jc w:val="both"/>
        <w:rPr>
          <w:rFonts w:asciiTheme="majorBidi" w:hAnsiTheme="majorBidi" w:cstheme="majorBidi"/>
          <w:i/>
          <w:color w:val="FF0000"/>
          <w:sz w:val="24"/>
          <w:szCs w:val="24"/>
        </w:rPr>
      </w:pPr>
      <w:r w:rsidRPr="009975D3">
        <w:rPr>
          <w:rFonts w:asciiTheme="majorBidi" w:hAnsiTheme="majorBidi" w:cstheme="majorBidi"/>
          <w:i/>
          <w:color w:val="FF0000"/>
          <w:sz w:val="24"/>
          <w:szCs w:val="24"/>
        </w:rPr>
        <w:t>- jakie czynniki mają wpływ na podwyższenie wielkości ryzyka prania pieniędzy lub finansowania terroryzmu (generują wysokie ryzyko),</w:t>
      </w:r>
    </w:p>
    <w:p w14:paraId="6DA3CC2C" w14:textId="77777777" w:rsidR="007F1D37" w:rsidRPr="009975D3" w:rsidRDefault="007F1D37" w:rsidP="007F1D37">
      <w:pPr>
        <w:spacing w:before="120" w:after="0" w:line="240" w:lineRule="auto"/>
        <w:jc w:val="both"/>
        <w:rPr>
          <w:rFonts w:asciiTheme="majorBidi" w:hAnsiTheme="majorBidi" w:cstheme="majorBidi"/>
          <w:i/>
          <w:color w:val="FF0000"/>
          <w:sz w:val="24"/>
          <w:szCs w:val="24"/>
        </w:rPr>
      </w:pPr>
      <w:r w:rsidRPr="009975D3">
        <w:rPr>
          <w:rFonts w:asciiTheme="majorBidi" w:hAnsiTheme="majorBidi" w:cstheme="majorBidi"/>
          <w:i/>
          <w:color w:val="FF0000"/>
          <w:sz w:val="24"/>
          <w:szCs w:val="24"/>
        </w:rPr>
        <w:t>- jakie czynniki mają wpływ na obniżenie wielkości ryzyka prania pieniędzy lub finansowania terroryzmu (generują niskie ryzyko),</w:t>
      </w:r>
    </w:p>
    <w:p w14:paraId="3FDCABF2" w14:textId="77777777" w:rsidR="007F1D37" w:rsidRPr="009975D3" w:rsidRDefault="007F1D37" w:rsidP="007F1D37">
      <w:pPr>
        <w:spacing w:before="120" w:after="0" w:line="240" w:lineRule="auto"/>
        <w:jc w:val="both"/>
        <w:rPr>
          <w:rFonts w:asciiTheme="majorBidi" w:hAnsiTheme="majorBidi" w:cstheme="majorBidi"/>
          <w:i/>
          <w:color w:val="FF0000"/>
          <w:sz w:val="24"/>
          <w:szCs w:val="24"/>
        </w:rPr>
      </w:pPr>
      <w:r w:rsidRPr="009975D3">
        <w:rPr>
          <w:rFonts w:asciiTheme="majorBidi" w:hAnsiTheme="majorBidi" w:cstheme="majorBidi"/>
          <w:i/>
          <w:color w:val="FF0000"/>
          <w:sz w:val="24"/>
          <w:szCs w:val="24"/>
        </w:rPr>
        <w:t xml:space="preserve">- jakie </w:t>
      </w:r>
      <w:r>
        <w:rPr>
          <w:rFonts w:asciiTheme="majorBidi" w:hAnsiTheme="majorBidi" w:cstheme="majorBidi"/>
          <w:i/>
          <w:color w:val="FF0000"/>
          <w:sz w:val="24"/>
          <w:szCs w:val="24"/>
        </w:rPr>
        <w:t xml:space="preserve">notariusz </w:t>
      </w:r>
      <w:r w:rsidRPr="009975D3">
        <w:rPr>
          <w:rFonts w:asciiTheme="majorBidi" w:hAnsiTheme="majorBidi" w:cstheme="majorBidi"/>
          <w:i/>
          <w:color w:val="FF0000"/>
          <w:sz w:val="24"/>
          <w:szCs w:val="24"/>
        </w:rPr>
        <w:t>może podjąć środki w celu obniżenia wartości ryzyka standardowego,</w:t>
      </w:r>
    </w:p>
    <w:p w14:paraId="0FBD356A" w14:textId="77777777" w:rsidR="007F1D37" w:rsidRPr="009975D3" w:rsidRDefault="007F1D37" w:rsidP="007F1D37">
      <w:pPr>
        <w:spacing w:before="120" w:after="0" w:line="240" w:lineRule="auto"/>
        <w:jc w:val="both"/>
        <w:rPr>
          <w:rFonts w:asciiTheme="majorBidi" w:hAnsiTheme="majorBidi" w:cstheme="majorBidi"/>
          <w:i/>
          <w:color w:val="FF0000"/>
          <w:sz w:val="24"/>
          <w:szCs w:val="24"/>
        </w:rPr>
      </w:pPr>
      <w:r w:rsidRPr="009975D3">
        <w:rPr>
          <w:rFonts w:asciiTheme="majorBidi" w:hAnsiTheme="majorBidi" w:cstheme="majorBidi"/>
          <w:i/>
          <w:color w:val="FF0000"/>
          <w:sz w:val="24"/>
          <w:szCs w:val="24"/>
        </w:rPr>
        <w:t xml:space="preserve">- ocenę funkcjonowania </w:t>
      </w:r>
      <w:proofErr w:type="spellStart"/>
      <w:r>
        <w:rPr>
          <w:rFonts w:asciiTheme="majorBidi" w:hAnsiTheme="majorBidi" w:cstheme="majorBidi"/>
          <w:i/>
          <w:color w:val="FF0000"/>
          <w:sz w:val="24"/>
          <w:szCs w:val="24"/>
        </w:rPr>
        <w:t>mitygantów</w:t>
      </w:r>
      <w:proofErr w:type="spellEnd"/>
      <w:r>
        <w:rPr>
          <w:rFonts w:asciiTheme="majorBidi" w:hAnsiTheme="majorBidi" w:cstheme="majorBidi"/>
          <w:i/>
          <w:color w:val="FF0000"/>
          <w:sz w:val="24"/>
          <w:szCs w:val="24"/>
        </w:rPr>
        <w:t xml:space="preserve"> ryzyka, a w przypadku ustalenia ich nieskuteczności - wskazanie </w:t>
      </w:r>
      <w:r w:rsidRPr="009975D3">
        <w:rPr>
          <w:rFonts w:asciiTheme="majorBidi" w:hAnsiTheme="majorBidi" w:cstheme="majorBidi"/>
          <w:i/>
          <w:color w:val="FF0000"/>
          <w:sz w:val="24"/>
          <w:szCs w:val="24"/>
        </w:rPr>
        <w:t>sposobu poprawy ich funkcjonowania</w:t>
      </w:r>
      <w:r>
        <w:rPr>
          <w:rFonts w:asciiTheme="majorBidi" w:hAnsiTheme="majorBidi" w:cstheme="majorBidi"/>
          <w:i/>
          <w:color w:val="FF0000"/>
          <w:sz w:val="24"/>
          <w:szCs w:val="24"/>
        </w:rPr>
        <w:t xml:space="preserve"> w określonym terminie</w:t>
      </w:r>
      <w:r w:rsidRPr="009975D3">
        <w:rPr>
          <w:rFonts w:asciiTheme="majorBidi" w:hAnsiTheme="majorBidi" w:cstheme="majorBidi"/>
          <w:i/>
          <w:color w:val="FF0000"/>
          <w:sz w:val="24"/>
          <w:szCs w:val="24"/>
        </w:rPr>
        <w:t>).</w:t>
      </w:r>
    </w:p>
    <w:p w14:paraId="68B6D675" w14:textId="77777777" w:rsidR="007F1D37" w:rsidRDefault="007F1D37" w:rsidP="005C429C">
      <w:pPr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p w14:paraId="494E3420" w14:textId="77777777" w:rsidR="007F1D37" w:rsidRDefault="007F1D37" w:rsidP="005C429C">
      <w:pPr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p w14:paraId="58327F7F" w14:textId="77777777" w:rsidR="007F1D37" w:rsidRPr="007F1D37" w:rsidRDefault="007F1D37" w:rsidP="007F1D37">
      <w:pPr>
        <w:jc w:val="right"/>
        <w:rPr>
          <w:rFonts w:asciiTheme="majorBidi" w:hAnsiTheme="majorBidi" w:cstheme="majorBidi"/>
          <w:sz w:val="24"/>
          <w:szCs w:val="24"/>
        </w:rPr>
      </w:pPr>
      <w:r w:rsidRPr="007F1D37">
        <w:rPr>
          <w:rFonts w:asciiTheme="majorBidi" w:hAnsiTheme="majorBidi" w:cstheme="majorBidi"/>
          <w:sz w:val="24"/>
          <w:szCs w:val="24"/>
        </w:rPr>
        <w:t>Podpis notariusza</w:t>
      </w:r>
    </w:p>
    <w:sectPr w:rsidR="007F1D37" w:rsidRPr="007F1D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scadia Mono">
    <w:panose1 w:val="020B0609020000020004"/>
    <w:charset w:val="EE"/>
    <w:family w:val="modern"/>
    <w:pitch w:val="fixed"/>
    <w:sig w:usb0="A1002AFF" w:usb1="4000F9FB" w:usb2="0004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3641207"/>
    <w:multiLevelType w:val="hybridMultilevel"/>
    <w:tmpl w:val="9905BF87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E3F5922"/>
    <w:multiLevelType w:val="hybridMultilevel"/>
    <w:tmpl w:val="5E1607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5923173">
    <w:abstractNumId w:val="1"/>
  </w:num>
  <w:num w:numId="2" w16cid:durableId="339670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574F"/>
    <w:rsid w:val="00035A53"/>
    <w:rsid w:val="00047DE1"/>
    <w:rsid w:val="00137544"/>
    <w:rsid w:val="002052A6"/>
    <w:rsid w:val="002C571D"/>
    <w:rsid w:val="003C0869"/>
    <w:rsid w:val="003C7CD9"/>
    <w:rsid w:val="004267E3"/>
    <w:rsid w:val="004524A1"/>
    <w:rsid w:val="00492931"/>
    <w:rsid w:val="004E0E32"/>
    <w:rsid w:val="004E0F0D"/>
    <w:rsid w:val="00524653"/>
    <w:rsid w:val="005B623A"/>
    <w:rsid w:val="005C3192"/>
    <w:rsid w:val="005C429C"/>
    <w:rsid w:val="005D4710"/>
    <w:rsid w:val="005E01E7"/>
    <w:rsid w:val="005E3FAF"/>
    <w:rsid w:val="0063202B"/>
    <w:rsid w:val="00651CAF"/>
    <w:rsid w:val="00675903"/>
    <w:rsid w:val="006A78ED"/>
    <w:rsid w:val="00727EFD"/>
    <w:rsid w:val="00737A85"/>
    <w:rsid w:val="00771254"/>
    <w:rsid w:val="00780587"/>
    <w:rsid w:val="007F1D37"/>
    <w:rsid w:val="00824594"/>
    <w:rsid w:val="00851A76"/>
    <w:rsid w:val="0087355D"/>
    <w:rsid w:val="008A562F"/>
    <w:rsid w:val="008E0A89"/>
    <w:rsid w:val="00927FA1"/>
    <w:rsid w:val="00937EB8"/>
    <w:rsid w:val="00944E26"/>
    <w:rsid w:val="00962013"/>
    <w:rsid w:val="00994284"/>
    <w:rsid w:val="00995E8A"/>
    <w:rsid w:val="009C5D78"/>
    <w:rsid w:val="009E6568"/>
    <w:rsid w:val="00A2517C"/>
    <w:rsid w:val="00C168AE"/>
    <w:rsid w:val="00C72A21"/>
    <w:rsid w:val="00CA2D44"/>
    <w:rsid w:val="00CC274E"/>
    <w:rsid w:val="00D0574F"/>
    <w:rsid w:val="00D32004"/>
    <w:rsid w:val="00D42218"/>
    <w:rsid w:val="00E002C5"/>
    <w:rsid w:val="00E7108D"/>
    <w:rsid w:val="00E7138E"/>
    <w:rsid w:val="00E74283"/>
    <w:rsid w:val="00EB5793"/>
    <w:rsid w:val="00F10FE5"/>
    <w:rsid w:val="00F82C6E"/>
    <w:rsid w:val="00FB1CAF"/>
    <w:rsid w:val="00FC79C8"/>
    <w:rsid w:val="00FE1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E37F5"/>
  <w15:docId w15:val="{004EBE78-E26C-4763-92D8-94E055DDB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355D"/>
  </w:style>
  <w:style w:type="paragraph" w:styleId="Nagwek1">
    <w:name w:val="heading 1"/>
    <w:basedOn w:val="Normalny"/>
    <w:next w:val="Normalny"/>
    <w:link w:val="Nagwek1Znak"/>
    <w:uiPriority w:val="9"/>
    <w:qFormat/>
    <w:rsid w:val="007F1D3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D4710"/>
    <w:pPr>
      <w:keepNext/>
      <w:keepLines/>
      <w:spacing w:before="40" w:after="0" w:line="240" w:lineRule="auto"/>
      <w:outlineLvl w:val="2"/>
    </w:pPr>
    <w:rPr>
      <w:rFonts w:ascii="Arial" w:eastAsiaTheme="majorEastAsia" w:hAnsi="Arial" w:cs="Times New Roman"/>
      <w:color w:val="1F4D78" w:themeColor="accent1" w:themeShade="7F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tyl 1,Preambuła,RR PGE Akapit z listą"/>
    <w:basedOn w:val="Normalny"/>
    <w:link w:val="AkapitzlistZnak"/>
    <w:uiPriority w:val="34"/>
    <w:qFormat/>
    <w:rsid w:val="00D0574F"/>
    <w:pPr>
      <w:ind w:left="720"/>
      <w:contextualSpacing/>
    </w:pPr>
  </w:style>
  <w:style w:type="character" w:customStyle="1" w:styleId="AkapitzlistZnak">
    <w:name w:val="Akapit z listą Znak"/>
    <w:aliases w:val="Styl 1 Znak,Preambuła Znak,RR PGE Akapit z listą Znak"/>
    <w:basedOn w:val="Domylnaczcionkaakapitu"/>
    <w:link w:val="Akapitzlist"/>
    <w:uiPriority w:val="34"/>
    <w:locked/>
    <w:rsid w:val="00D0574F"/>
  </w:style>
  <w:style w:type="character" w:customStyle="1" w:styleId="Nagwek3Znak">
    <w:name w:val="Nagłówek 3 Znak"/>
    <w:basedOn w:val="Domylnaczcionkaakapitu"/>
    <w:link w:val="Nagwek3"/>
    <w:uiPriority w:val="9"/>
    <w:rsid w:val="005D4710"/>
    <w:rPr>
      <w:rFonts w:ascii="Arial" w:eastAsiaTheme="majorEastAsia" w:hAnsi="Arial" w:cs="Times New Roman"/>
      <w:color w:val="1F4D78" w:themeColor="accent1" w:themeShade="7F"/>
      <w:szCs w:val="24"/>
    </w:rPr>
  </w:style>
  <w:style w:type="paragraph" w:customStyle="1" w:styleId="Default">
    <w:name w:val="Default"/>
    <w:rsid w:val="004E0E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67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67E3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7F1D3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40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897</Words>
  <Characters>5382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Małgorzata K-R</dc:creator>
  <cp:lastModifiedBy>Michał Buk</cp:lastModifiedBy>
  <cp:revision>4</cp:revision>
  <cp:lastPrinted>2025-01-31T14:34:00Z</cp:lastPrinted>
  <dcterms:created xsi:type="dcterms:W3CDTF">2025-10-10T12:41:00Z</dcterms:created>
  <dcterms:modified xsi:type="dcterms:W3CDTF">2026-02-27T09:15:00Z</dcterms:modified>
</cp:coreProperties>
</file>